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2" w:rsidRDefault="00DE4832" w:rsidP="008A00B2">
      <w:pPr>
        <w:pStyle w:val="a3"/>
        <w:jc w:val="center"/>
        <w:rPr>
          <w:b/>
        </w:rPr>
      </w:pPr>
      <w:r>
        <w:rPr>
          <w:b/>
        </w:rPr>
        <w:t xml:space="preserve">Итоги проведения </w:t>
      </w:r>
    </w:p>
    <w:p w:rsidR="00DE4832" w:rsidRDefault="00DE4832" w:rsidP="008A00B2">
      <w:pPr>
        <w:pStyle w:val="a3"/>
        <w:jc w:val="center"/>
        <w:rPr>
          <w:b/>
        </w:rPr>
      </w:pPr>
      <w:r w:rsidRPr="00DE4832">
        <w:rPr>
          <w:b/>
        </w:rPr>
        <w:t xml:space="preserve">Всероссийской сельскохозяйственной переписи </w:t>
      </w:r>
      <w:r>
        <w:rPr>
          <w:b/>
        </w:rPr>
        <w:t xml:space="preserve">2016 года </w:t>
      </w:r>
      <w:r w:rsidR="000E7ED9">
        <w:rPr>
          <w:b/>
        </w:rPr>
        <w:t xml:space="preserve">в дачных, садовых некоммерческих </w:t>
      </w:r>
      <w:r w:rsidR="00A82788">
        <w:rPr>
          <w:b/>
        </w:rPr>
        <w:t xml:space="preserve">товариществах </w:t>
      </w:r>
      <w:r w:rsidR="000E7ED9">
        <w:rPr>
          <w:b/>
        </w:rPr>
        <w:t>граждан (ДНТ и СНТ)</w:t>
      </w:r>
    </w:p>
    <w:p w:rsidR="008A00B2" w:rsidRDefault="008A00B2" w:rsidP="008A00B2">
      <w:pPr>
        <w:pStyle w:val="a3"/>
        <w:jc w:val="center"/>
        <w:rPr>
          <w:b/>
        </w:rPr>
      </w:pPr>
      <w:r w:rsidRPr="008A00B2">
        <w:rPr>
          <w:b/>
        </w:rPr>
        <w:t xml:space="preserve"> Тукаевско</w:t>
      </w:r>
      <w:r w:rsidR="00A82788">
        <w:rPr>
          <w:b/>
        </w:rPr>
        <w:t>го</w:t>
      </w:r>
      <w:r w:rsidRPr="008A00B2">
        <w:rPr>
          <w:b/>
        </w:rPr>
        <w:t xml:space="preserve"> муниципально</w:t>
      </w:r>
      <w:r w:rsidR="00A82788">
        <w:rPr>
          <w:b/>
        </w:rPr>
        <w:t>го</w:t>
      </w:r>
      <w:r w:rsidRPr="008A00B2">
        <w:rPr>
          <w:b/>
        </w:rPr>
        <w:t xml:space="preserve"> район</w:t>
      </w:r>
      <w:r w:rsidR="00A82788">
        <w:rPr>
          <w:b/>
        </w:rPr>
        <w:t>а</w:t>
      </w:r>
    </w:p>
    <w:p w:rsidR="008A00B2" w:rsidRDefault="008A00B2" w:rsidP="004816D6">
      <w:pPr>
        <w:pStyle w:val="a3"/>
      </w:pPr>
    </w:p>
    <w:p w:rsidR="00A205CF" w:rsidRDefault="00A82788" w:rsidP="00DE4832">
      <w:pPr>
        <w:pStyle w:val="a3"/>
        <w:rPr>
          <w:szCs w:val="28"/>
        </w:rPr>
      </w:pPr>
      <w:r>
        <w:t>Всероссийская</w:t>
      </w:r>
      <w:r w:rsidR="00DE4832">
        <w:t xml:space="preserve"> сельскохозяйственн</w:t>
      </w:r>
      <w:r>
        <w:t>ая</w:t>
      </w:r>
      <w:r w:rsidR="00DE4832">
        <w:t xml:space="preserve"> </w:t>
      </w:r>
      <w:r w:rsidR="00DE4832" w:rsidRPr="00DE4832">
        <w:t>перепис</w:t>
      </w:r>
      <w:r>
        <w:t>ь</w:t>
      </w:r>
      <w:r w:rsidR="00DE4832" w:rsidRPr="00DE4832">
        <w:t xml:space="preserve"> </w:t>
      </w:r>
      <w:r w:rsidR="00DE4832">
        <w:t xml:space="preserve">в </w:t>
      </w:r>
      <w:proofErr w:type="spellStart"/>
      <w:r w:rsidR="00DE4832">
        <w:t>Тукаевском</w:t>
      </w:r>
      <w:proofErr w:type="spellEnd"/>
      <w:r w:rsidR="00DE4832">
        <w:t xml:space="preserve"> муниципальном районе </w:t>
      </w:r>
      <w:r>
        <w:t xml:space="preserve">проведена </w:t>
      </w:r>
      <w:r w:rsidR="002B4C61">
        <w:t xml:space="preserve">на </w:t>
      </w:r>
      <w:r w:rsidR="00DE4832" w:rsidRPr="003976EA">
        <w:rPr>
          <w:szCs w:val="28"/>
        </w:rPr>
        <w:t>объект</w:t>
      </w:r>
      <w:r w:rsidR="002B4C61">
        <w:rPr>
          <w:szCs w:val="28"/>
        </w:rPr>
        <w:t>ах:</w:t>
      </w:r>
      <w:r w:rsidR="00DE4832" w:rsidRPr="003976EA">
        <w:rPr>
          <w:szCs w:val="28"/>
        </w:rPr>
        <w:t xml:space="preserve"> </w:t>
      </w:r>
    </w:p>
    <w:p w:rsidR="00A205CF" w:rsidRDefault="00A205CF" w:rsidP="00DE4832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DE4832" w:rsidRPr="003976EA">
        <w:rPr>
          <w:szCs w:val="28"/>
        </w:rPr>
        <w:t>17 сельскохозяйственных предприяти</w:t>
      </w:r>
      <w:r w:rsidR="00A82788">
        <w:rPr>
          <w:szCs w:val="28"/>
        </w:rPr>
        <w:t>й</w:t>
      </w:r>
      <w:r w:rsidR="00DE4832" w:rsidRPr="003976EA">
        <w:rPr>
          <w:szCs w:val="28"/>
        </w:rPr>
        <w:t xml:space="preserve">, </w:t>
      </w:r>
    </w:p>
    <w:p w:rsidR="00A205CF" w:rsidRDefault="00A205CF" w:rsidP="00DE4832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DE4832" w:rsidRPr="003976EA">
        <w:rPr>
          <w:szCs w:val="28"/>
        </w:rPr>
        <w:t xml:space="preserve">6 </w:t>
      </w:r>
      <w:proofErr w:type="spellStart"/>
      <w:r w:rsidR="00DE4832" w:rsidRPr="003976EA">
        <w:rPr>
          <w:szCs w:val="28"/>
        </w:rPr>
        <w:t>микропредприятий</w:t>
      </w:r>
      <w:proofErr w:type="spellEnd"/>
      <w:r w:rsidR="00DE4832" w:rsidRPr="003976EA">
        <w:rPr>
          <w:szCs w:val="28"/>
        </w:rPr>
        <w:t xml:space="preserve">,  </w:t>
      </w:r>
    </w:p>
    <w:p w:rsidR="00A205CF" w:rsidRDefault="00A205CF" w:rsidP="00DE4832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DE4832" w:rsidRPr="003976EA">
        <w:rPr>
          <w:szCs w:val="28"/>
        </w:rPr>
        <w:t xml:space="preserve">3 </w:t>
      </w:r>
      <w:proofErr w:type="gramStart"/>
      <w:r w:rsidR="00DE4832" w:rsidRPr="003976EA">
        <w:rPr>
          <w:szCs w:val="28"/>
        </w:rPr>
        <w:t>подсобных</w:t>
      </w:r>
      <w:proofErr w:type="gramEnd"/>
      <w:r w:rsidR="00DE4832" w:rsidRPr="003976EA">
        <w:rPr>
          <w:szCs w:val="28"/>
        </w:rPr>
        <w:t xml:space="preserve"> сельскохозяйственных предприятия,  </w:t>
      </w:r>
    </w:p>
    <w:p w:rsidR="00A205CF" w:rsidRDefault="00A205CF" w:rsidP="00DE4832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DE4832" w:rsidRPr="003976EA">
        <w:rPr>
          <w:szCs w:val="28"/>
        </w:rPr>
        <w:t xml:space="preserve">216 КФХ и ИП, </w:t>
      </w:r>
    </w:p>
    <w:p w:rsidR="00A205CF" w:rsidRDefault="00A205CF" w:rsidP="00DE4832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DE4832" w:rsidRPr="003976EA">
        <w:rPr>
          <w:szCs w:val="28"/>
        </w:rPr>
        <w:t xml:space="preserve">23706 ЛПХ,  </w:t>
      </w:r>
    </w:p>
    <w:p w:rsidR="00DE4832" w:rsidRDefault="00A205CF" w:rsidP="00DE4832">
      <w:pPr>
        <w:pStyle w:val="a3"/>
      </w:pPr>
      <w:r>
        <w:rPr>
          <w:szCs w:val="28"/>
        </w:rPr>
        <w:t xml:space="preserve">-  </w:t>
      </w:r>
      <w:r w:rsidR="00DE4832" w:rsidRPr="00E461D6">
        <w:rPr>
          <w:b/>
          <w:szCs w:val="28"/>
        </w:rPr>
        <w:t xml:space="preserve">5899 </w:t>
      </w:r>
      <w:proofErr w:type="gramStart"/>
      <w:r w:rsidR="00DE4832" w:rsidRPr="00E461D6">
        <w:rPr>
          <w:b/>
          <w:szCs w:val="28"/>
        </w:rPr>
        <w:t>дачных</w:t>
      </w:r>
      <w:proofErr w:type="gramEnd"/>
      <w:r w:rsidR="00DE4832" w:rsidRPr="00E461D6">
        <w:rPr>
          <w:b/>
          <w:szCs w:val="28"/>
        </w:rPr>
        <w:t xml:space="preserve"> участка в 86 </w:t>
      </w:r>
      <w:r w:rsidR="00A82788">
        <w:rPr>
          <w:b/>
          <w:szCs w:val="28"/>
        </w:rPr>
        <w:t>ДНТ и СНТ</w:t>
      </w:r>
      <w:r w:rsidR="00DE4832" w:rsidRPr="00DE4832">
        <w:t>.</w:t>
      </w:r>
    </w:p>
    <w:p w:rsidR="002B4C61" w:rsidRDefault="002B4C61" w:rsidP="00DE4832">
      <w:pPr>
        <w:pStyle w:val="a3"/>
      </w:pPr>
    </w:p>
    <w:p w:rsidR="00A31248" w:rsidRDefault="00A31248" w:rsidP="00DE4832">
      <w:pPr>
        <w:pStyle w:val="a3"/>
      </w:pPr>
      <w:r>
        <w:t xml:space="preserve">За период после всероссийской переписи 2006 года количество </w:t>
      </w:r>
      <w:r w:rsidR="00A82788">
        <w:t xml:space="preserve">дачных и садовых объединений </w:t>
      </w:r>
      <w:r>
        <w:t xml:space="preserve">выросло на 18 единиц. </w:t>
      </w:r>
    </w:p>
    <w:p w:rsidR="00A82788" w:rsidRDefault="00A82788" w:rsidP="00DE4832">
      <w:pPr>
        <w:pStyle w:val="a3"/>
      </w:pPr>
    </w:p>
    <w:p w:rsidR="00A82788" w:rsidRDefault="00A82788" w:rsidP="00A82788">
      <w:pPr>
        <w:pStyle w:val="a3"/>
        <w:jc w:val="right"/>
      </w:pPr>
      <w:r>
        <w:t>Рисунок 1</w:t>
      </w:r>
    </w:p>
    <w:p w:rsidR="00DE4832" w:rsidRDefault="00A31248" w:rsidP="00A31248">
      <w:pPr>
        <w:pStyle w:val="a3"/>
        <w:ind w:firstLine="0"/>
        <w:rPr>
          <w:bCs/>
        </w:rPr>
      </w:pPr>
      <w:r w:rsidRPr="00A31248">
        <w:rPr>
          <w:bCs/>
          <w:noProof/>
          <w:lang w:eastAsia="ru-RU"/>
        </w:rPr>
        <w:drawing>
          <wp:inline distT="0" distB="0" distL="0" distR="0">
            <wp:extent cx="5848350" cy="36195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1248" w:rsidRDefault="00A31248" w:rsidP="00A31248">
      <w:pPr>
        <w:pStyle w:val="a3"/>
        <w:ind w:firstLine="0"/>
        <w:rPr>
          <w:bCs/>
        </w:rPr>
      </w:pPr>
    </w:p>
    <w:p w:rsidR="002B4C61" w:rsidRDefault="002B4C61" w:rsidP="008909F9">
      <w:pPr>
        <w:pStyle w:val="a3"/>
        <w:ind w:firstLine="708"/>
        <w:rPr>
          <w:bCs/>
        </w:rPr>
      </w:pPr>
    </w:p>
    <w:p w:rsidR="008909F9" w:rsidRDefault="008909F9" w:rsidP="008909F9">
      <w:pPr>
        <w:pStyle w:val="a3"/>
        <w:ind w:firstLine="708"/>
        <w:rPr>
          <w:bCs/>
        </w:rPr>
      </w:pPr>
      <w:r>
        <w:rPr>
          <w:bCs/>
        </w:rPr>
        <w:t>О</w:t>
      </w:r>
      <w:r w:rsidR="00BA0A6C" w:rsidRPr="00BA0A6C">
        <w:rPr>
          <w:bCs/>
        </w:rPr>
        <w:t>снова сельскохозяйственной деятельности</w:t>
      </w:r>
      <w:r>
        <w:rPr>
          <w:bCs/>
        </w:rPr>
        <w:t xml:space="preserve"> </w:t>
      </w:r>
      <w:proofErr w:type="gramStart"/>
      <w:r>
        <w:rPr>
          <w:bCs/>
        </w:rPr>
        <w:t>–э</w:t>
      </w:r>
      <w:proofErr w:type="gramEnd"/>
      <w:r>
        <w:rPr>
          <w:bCs/>
        </w:rPr>
        <w:t>то земля</w:t>
      </w:r>
      <w:r w:rsidR="00BA0A6C" w:rsidRPr="00BA0A6C">
        <w:rPr>
          <w:bCs/>
        </w:rPr>
        <w:t>.</w:t>
      </w:r>
      <w:r>
        <w:rPr>
          <w:bCs/>
        </w:rPr>
        <w:t xml:space="preserve"> </w:t>
      </w:r>
      <w:r w:rsidRPr="002B4C61">
        <w:rPr>
          <w:bCs/>
        </w:rPr>
        <w:t xml:space="preserve">В </w:t>
      </w:r>
      <w:r w:rsidR="00BA0A6C" w:rsidRPr="002B4C61">
        <w:rPr>
          <w:bCs/>
        </w:rPr>
        <w:t xml:space="preserve"> разных категориях хозяй</w:t>
      </w:r>
      <w:proofErr w:type="gramStart"/>
      <w:r w:rsidR="00BA0A6C" w:rsidRPr="002B4C61">
        <w:rPr>
          <w:bCs/>
        </w:rPr>
        <w:t>ств пр</w:t>
      </w:r>
      <w:proofErr w:type="gramEnd"/>
      <w:r w:rsidR="00BA0A6C" w:rsidRPr="002B4C61">
        <w:rPr>
          <w:bCs/>
        </w:rPr>
        <w:t>ослеживаются разные тенденции по использованию земли, среди них и положительные, и  отрицательные</w:t>
      </w:r>
      <w:r w:rsidR="002B4C61">
        <w:rPr>
          <w:bCs/>
        </w:rPr>
        <w:t xml:space="preserve"> (рисунок 2)</w:t>
      </w:r>
      <w:r w:rsidR="00BA0A6C" w:rsidRPr="002B4C61">
        <w:rPr>
          <w:bCs/>
        </w:rPr>
        <w:t>.</w:t>
      </w:r>
      <w:r w:rsidR="00BA0A6C" w:rsidRPr="00BA0A6C">
        <w:rPr>
          <w:bCs/>
        </w:rPr>
        <w:t xml:space="preserve"> </w:t>
      </w:r>
    </w:p>
    <w:p w:rsidR="008909F9" w:rsidRDefault="00BA0A6C" w:rsidP="008909F9">
      <w:pPr>
        <w:pStyle w:val="a3"/>
        <w:ind w:firstLine="708"/>
        <w:rPr>
          <w:bCs/>
        </w:rPr>
      </w:pPr>
      <w:r w:rsidRPr="00BA0A6C">
        <w:rPr>
          <w:bCs/>
        </w:rPr>
        <w:t>Общая площадь земли, находящейся у объектов переписи, в р</w:t>
      </w:r>
      <w:r w:rsidR="008909F9">
        <w:rPr>
          <w:bCs/>
        </w:rPr>
        <w:t>айоне</w:t>
      </w:r>
      <w:r w:rsidRPr="00BA0A6C">
        <w:rPr>
          <w:bCs/>
        </w:rPr>
        <w:t xml:space="preserve"> уменьшилась на  </w:t>
      </w:r>
      <w:r w:rsidR="008909F9">
        <w:rPr>
          <w:bCs/>
        </w:rPr>
        <w:t>14</w:t>
      </w:r>
      <w:r w:rsidRPr="00BA0A6C">
        <w:rPr>
          <w:bCs/>
        </w:rPr>
        <w:t xml:space="preserve">%, с  </w:t>
      </w:r>
      <w:r w:rsidR="008909F9">
        <w:rPr>
          <w:bCs/>
        </w:rPr>
        <w:t>115,7</w:t>
      </w:r>
      <w:r w:rsidRPr="00BA0A6C">
        <w:rPr>
          <w:bCs/>
        </w:rPr>
        <w:t xml:space="preserve"> тыс. га в 2006г. – до </w:t>
      </w:r>
      <w:r w:rsidR="008909F9">
        <w:rPr>
          <w:bCs/>
        </w:rPr>
        <w:t>99,5</w:t>
      </w:r>
      <w:r w:rsidRPr="00BA0A6C">
        <w:rPr>
          <w:bCs/>
        </w:rPr>
        <w:t xml:space="preserve"> тыс. га  в 2016г. (минус </w:t>
      </w:r>
      <w:r w:rsidR="008909F9">
        <w:rPr>
          <w:bCs/>
        </w:rPr>
        <w:t>16,1</w:t>
      </w:r>
      <w:r w:rsidRPr="00BA0A6C">
        <w:rPr>
          <w:bCs/>
        </w:rPr>
        <w:t xml:space="preserve"> тыс. га)</w:t>
      </w:r>
      <w:r w:rsidR="008909F9">
        <w:rPr>
          <w:bCs/>
        </w:rPr>
        <w:t>.</w:t>
      </w:r>
      <w:r w:rsidR="002B4C61">
        <w:rPr>
          <w:bCs/>
        </w:rPr>
        <w:t xml:space="preserve"> </w:t>
      </w:r>
    </w:p>
    <w:p w:rsidR="008909F9" w:rsidRDefault="008909F9" w:rsidP="008909F9">
      <w:pPr>
        <w:pStyle w:val="a3"/>
        <w:ind w:firstLine="708"/>
        <w:rPr>
          <w:bCs/>
        </w:rPr>
      </w:pPr>
    </w:p>
    <w:p w:rsidR="002B4C61" w:rsidRDefault="002B4C61" w:rsidP="002B4C61">
      <w:pPr>
        <w:ind w:firstLine="708"/>
        <w:contextualSpacing/>
        <w:jc w:val="right"/>
      </w:pPr>
      <w:r>
        <w:lastRenderedPageBreak/>
        <w:t>Рисунок 2</w:t>
      </w:r>
    </w:p>
    <w:p w:rsidR="008909F9" w:rsidRDefault="008909F9" w:rsidP="008909F9">
      <w:pPr>
        <w:ind w:firstLine="708"/>
        <w:contextualSpacing/>
        <w:jc w:val="center"/>
      </w:pPr>
      <w:r>
        <w:t>Динамика структуры</w:t>
      </w:r>
    </w:p>
    <w:p w:rsidR="008909F9" w:rsidRDefault="008909F9" w:rsidP="008909F9">
      <w:pPr>
        <w:ind w:firstLine="708"/>
        <w:contextualSpacing/>
        <w:jc w:val="center"/>
      </w:pPr>
      <w:r>
        <w:t>общей земельной площади в разрезе категорий хозяйств</w:t>
      </w:r>
    </w:p>
    <w:p w:rsidR="008909F9" w:rsidRDefault="008909F9" w:rsidP="008909F9">
      <w:pPr>
        <w:ind w:firstLine="708"/>
        <w:contextualSpacing/>
        <w:jc w:val="center"/>
      </w:pPr>
      <w:r>
        <w:t>по результатам сельскохозяйственных переписей</w:t>
      </w:r>
    </w:p>
    <w:p w:rsidR="008909F9" w:rsidRDefault="008909F9" w:rsidP="008909F9">
      <w:pPr>
        <w:pStyle w:val="a3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spellStart"/>
      <w:r>
        <w:rPr>
          <w:rFonts w:cs="Times New Roman"/>
          <w:szCs w:val="28"/>
        </w:rPr>
        <w:t>Тукаевском</w:t>
      </w:r>
      <w:proofErr w:type="spellEnd"/>
      <w:r>
        <w:rPr>
          <w:rFonts w:cs="Times New Roman"/>
          <w:szCs w:val="28"/>
        </w:rPr>
        <w:t xml:space="preserve"> муниципальном районе</w:t>
      </w:r>
    </w:p>
    <w:p w:rsidR="008909F9" w:rsidRDefault="008909F9" w:rsidP="008909F9">
      <w:pPr>
        <w:pStyle w:val="a3"/>
        <w:ind w:firstLine="708"/>
        <w:jc w:val="center"/>
        <w:rPr>
          <w:bCs/>
        </w:rPr>
      </w:pPr>
    </w:p>
    <w:p w:rsidR="00A11603" w:rsidRDefault="00A11603" w:rsidP="00A31248">
      <w:pPr>
        <w:pStyle w:val="a3"/>
        <w:ind w:firstLine="0"/>
        <w:rPr>
          <w:bCs/>
        </w:rPr>
      </w:pPr>
      <w:r w:rsidRPr="00A11603">
        <w:rPr>
          <w:bCs/>
          <w:noProof/>
          <w:lang w:eastAsia="ru-RU"/>
        </w:rPr>
        <w:drawing>
          <wp:inline distT="0" distB="0" distL="0" distR="0">
            <wp:extent cx="2828925" cy="3162300"/>
            <wp:effectExtent l="19050" t="0" r="952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11603">
        <w:rPr>
          <w:bCs/>
          <w:noProof/>
          <w:lang w:eastAsia="ru-RU"/>
        </w:rPr>
        <w:drawing>
          <wp:inline distT="0" distB="0" distL="0" distR="0">
            <wp:extent cx="2867025" cy="3162300"/>
            <wp:effectExtent l="19050" t="0" r="9525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A6C" w:rsidRDefault="00BA0A6C" w:rsidP="004A1B00">
      <w:pPr>
        <w:pStyle w:val="a3"/>
        <w:ind w:firstLine="708"/>
        <w:rPr>
          <w:bCs/>
        </w:rPr>
      </w:pPr>
    </w:p>
    <w:p w:rsidR="008909F9" w:rsidRDefault="008909F9" w:rsidP="004A1B00">
      <w:pPr>
        <w:pStyle w:val="a3"/>
        <w:ind w:firstLine="708"/>
        <w:rPr>
          <w:bCs/>
        </w:rPr>
      </w:pPr>
    </w:p>
    <w:p w:rsidR="003F598A" w:rsidRDefault="00C60B45" w:rsidP="00C549C6">
      <w:pPr>
        <w:pStyle w:val="a3"/>
        <w:ind w:firstLine="708"/>
        <w:rPr>
          <w:bCs/>
        </w:rPr>
      </w:pPr>
      <w:r>
        <w:rPr>
          <w:bCs/>
        </w:rPr>
        <w:t>Э</w:t>
      </w:r>
      <w:r w:rsidR="00D00009" w:rsidRPr="00D00009">
        <w:rPr>
          <w:bCs/>
        </w:rPr>
        <w:t>ффективно</w:t>
      </w:r>
      <w:r>
        <w:rPr>
          <w:bCs/>
        </w:rPr>
        <w:t>сть</w:t>
      </w:r>
      <w:r w:rsidR="00D00009" w:rsidRPr="00D00009">
        <w:rPr>
          <w:bCs/>
        </w:rPr>
        <w:t xml:space="preserve"> использ</w:t>
      </w:r>
      <w:r>
        <w:rPr>
          <w:bCs/>
        </w:rPr>
        <w:t xml:space="preserve">ования </w:t>
      </w:r>
      <w:r w:rsidR="00D00009" w:rsidRPr="00D00009">
        <w:rPr>
          <w:bCs/>
        </w:rPr>
        <w:t>зем</w:t>
      </w:r>
      <w:r>
        <w:rPr>
          <w:bCs/>
        </w:rPr>
        <w:t xml:space="preserve">ельных ресурсов характеризуется </w:t>
      </w:r>
      <w:r w:rsidR="00D00009" w:rsidRPr="00D00009">
        <w:rPr>
          <w:bCs/>
        </w:rPr>
        <w:t xml:space="preserve"> площадь</w:t>
      </w:r>
      <w:r>
        <w:rPr>
          <w:bCs/>
        </w:rPr>
        <w:t>ю</w:t>
      </w:r>
      <w:r w:rsidR="00D00009" w:rsidRPr="00D00009">
        <w:rPr>
          <w:bCs/>
        </w:rPr>
        <w:t xml:space="preserve"> сельхозугодий. Самую большую </w:t>
      </w:r>
      <w:r w:rsidR="002B4C61">
        <w:rPr>
          <w:bCs/>
        </w:rPr>
        <w:t xml:space="preserve">долю </w:t>
      </w:r>
      <w:r w:rsidR="00D00009" w:rsidRPr="00D00009">
        <w:rPr>
          <w:bCs/>
        </w:rPr>
        <w:t xml:space="preserve">в </w:t>
      </w:r>
      <w:proofErr w:type="spellStart"/>
      <w:r w:rsidR="00D00009" w:rsidRPr="00D00009">
        <w:rPr>
          <w:bCs/>
        </w:rPr>
        <w:t>сельхозугодьях</w:t>
      </w:r>
      <w:proofErr w:type="spellEnd"/>
      <w:r w:rsidR="00D00009" w:rsidRPr="00D00009">
        <w:rPr>
          <w:bCs/>
        </w:rPr>
        <w:t>  занима</w:t>
      </w:r>
      <w:r w:rsidR="003F598A">
        <w:rPr>
          <w:bCs/>
        </w:rPr>
        <w:t>ет</w:t>
      </w:r>
      <w:r w:rsidR="00D00009" w:rsidRPr="00D00009">
        <w:rPr>
          <w:bCs/>
        </w:rPr>
        <w:t xml:space="preserve"> пашня – </w:t>
      </w:r>
      <w:r w:rsidR="00D00009">
        <w:rPr>
          <w:bCs/>
        </w:rPr>
        <w:t>92,4</w:t>
      </w:r>
      <w:r w:rsidR="00D00009" w:rsidRPr="00D00009">
        <w:rPr>
          <w:bCs/>
        </w:rPr>
        <w:t>%,</w:t>
      </w:r>
      <w:r w:rsidR="003F598A">
        <w:rPr>
          <w:bCs/>
        </w:rPr>
        <w:t xml:space="preserve"> (</w:t>
      </w:r>
      <w:r w:rsidR="00D00009" w:rsidRPr="00D00009">
        <w:rPr>
          <w:bCs/>
        </w:rPr>
        <w:t>в 2006г</w:t>
      </w:r>
      <w:r w:rsidR="003F598A">
        <w:rPr>
          <w:bCs/>
        </w:rPr>
        <w:t xml:space="preserve">оду </w:t>
      </w:r>
      <w:r w:rsidR="00D00009">
        <w:rPr>
          <w:bCs/>
        </w:rPr>
        <w:t xml:space="preserve">составляла </w:t>
      </w:r>
      <w:r w:rsidR="00D00009" w:rsidRPr="00D00009">
        <w:rPr>
          <w:bCs/>
        </w:rPr>
        <w:t xml:space="preserve"> - </w:t>
      </w:r>
      <w:r w:rsidR="00D00009">
        <w:rPr>
          <w:bCs/>
        </w:rPr>
        <w:t>8</w:t>
      </w:r>
      <w:r w:rsidR="00D00009" w:rsidRPr="00D00009">
        <w:rPr>
          <w:bCs/>
        </w:rPr>
        <w:t>6</w:t>
      </w:r>
      <w:r w:rsidR="00D00009">
        <w:rPr>
          <w:bCs/>
        </w:rPr>
        <w:t>,2</w:t>
      </w:r>
      <w:r w:rsidR="00D00009" w:rsidRPr="00D00009">
        <w:rPr>
          <w:bCs/>
        </w:rPr>
        <w:t>%</w:t>
      </w:r>
      <w:r w:rsidR="003F598A">
        <w:rPr>
          <w:bCs/>
        </w:rPr>
        <w:t>),</w:t>
      </w:r>
      <w:r w:rsidR="00D00009">
        <w:rPr>
          <w:bCs/>
        </w:rPr>
        <w:t xml:space="preserve"> </w:t>
      </w:r>
    </w:p>
    <w:p w:rsidR="003F598A" w:rsidRDefault="003F598A" w:rsidP="003F598A">
      <w:pPr>
        <w:pStyle w:val="a3"/>
        <w:ind w:left="708" w:firstLine="0"/>
        <w:rPr>
          <w:bCs/>
        </w:rPr>
      </w:pPr>
      <w:r>
        <w:rPr>
          <w:bCs/>
        </w:rPr>
        <w:t xml:space="preserve">- </w:t>
      </w:r>
      <w:r w:rsidR="00D00009">
        <w:rPr>
          <w:bCs/>
        </w:rPr>
        <w:t>пастбища составля</w:t>
      </w:r>
      <w:r>
        <w:rPr>
          <w:bCs/>
        </w:rPr>
        <w:t>ют</w:t>
      </w:r>
      <w:r w:rsidR="00D00009">
        <w:rPr>
          <w:bCs/>
        </w:rPr>
        <w:t xml:space="preserve"> 4,4</w:t>
      </w:r>
      <w:r w:rsidR="00D00009" w:rsidRPr="00D00009">
        <w:rPr>
          <w:bCs/>
        </w:rPr>
        <w:t xml:space="preserve">% (в 2006г. </w:t>
      </w:r>
      <w:r w:rsidR="00D00009">
        <w:rPr>
          <w:bCs/>
        </w:rPr>
        <w:t>–</w:t>
      </w:r>
      <w:r w:rsidR="00D00009" w:rsidRPr="00D00009">
        <w:rPr>
          <w:bCs/>
        </w:rPr>
        <w:t xml:space="preserve"> </w:t>
      </w:r>
      <w:r w:rsidR="00D00009">
        <w:rPr>
          <w:bCs/>
        </w:rPr>
        <w:t>11,5</w:t>
      </w:r>
      <w:r w:rsidR="00D00009" w:rsidRPr="00D00009">
        <w:rPr>
          <w:bCs/>
        </w:rPr>
        <w:t>%), </w:t>
      </w:r>
      <w:r w:rsidR="00D00009" w:rsidRPr="00D00009">
        <w:rPr>
          <w:bCs/>
        </w:rPr>
        <w:br/>
      </w:r>
      <w:r>
        <w:rPr>
          <w:bCs/>
        </w:rPr>
        <w:t xml:space="preserve">-  </w:t>
      </w:r>
      <w:r w:rsidR="00D00009" w:rsidRPr="00D00009">
        <w:rPr>
          <w:bCs/>
        </w:rPr>
        <w:t>сенокос</w:t>
      </w:r>
      <w:r w:rsidR="00D00009">
        <w:rPr>
          <w:bCs/>
        </w:rPr>
        <w:t>ы – 1,3</w:t>
      </w:r>
      <w:r w:rsidR="00D00009" w:rsidRPr="00D00009">
        <w:rPr>
          <w:bCs/>
        </w:rPr>
        <w:t xml:space="preserve">%, (в 2006г. </w:t>
      </w:r>
      <w:r w:rsidR="00D00009">
        <w:rPr>
          <w:bCs/>
        </w:rPr>
        <w:t xml:space="preserve">- 1%), </w:t>
      </w:r>
    </w:p>
    <w:p w:rsidR="003F598A" w:rsidRDefault="003F598A" w:rsidP="003F598A">
      <w:pPr>
        <w:pStyle w:val="a3"/>
        <w:ind w:left="708" w:firstLine="0"/>
        <w:rPr>
          <w:bCs/>
        </w:rPr>
      </w:pPr>
      <w:r>
        <w:rPr>
          <w:bCs/>
        </w:rPr>
        <w:t xml:space="preserve">- </w:t>
      </w:r>
      <w:r w:rsidR="00D00009">
        <w:rPr>
          <w:bCs/>
        </w:rPr>
        <w:t xml:space="preserve">залежь занимает </w:t>
      </w:r>
      <w:r w:rsidR="006946D6">
        <w:rPr>
          <w:bCs/>
        </w:rPr>
        <w:t>1% угодий (в 2006 г. было 0,8%).</w:t>
      </w:r>
    </w:p>
    <w:p w:rsidR="00C549C6" w:rsidRDefault="00D00009" w:rsidP="003F598A">
      <w:pPr>
        <w:pStyle w:val="a3"/>
        <w:ind w:firstLine="0"/>
        <w:rPr>
          <w:bCs/>
        </w:rPr>
      </w:pPr>
      <w:r w:rsidRPr="00D00009">
        <w:rPr>
          <w:bCs/>
        </w:rPr>
        <w:br/>
      </w:r>
      <w:r w:rsidR="006946D6">
        <w:rPr>
          <w:bCs/>
        </w:rPr>
        <w:t xml:space="preserve"> </w:t>
      </w:r>
      <w:r w:rsidR="006946D6">
        <w:rPr>
          <w:bCs/>
        </w:rPr>
        <w:tab/>
      </w:r>
      <w:r w:rsidR="00C549C6" w:rsidRPr="00DA6ECE">
        <w:rPr>
          <w:bCs/>
        </w:rPr>
        <w:t xml:space="preserve">У </w:t>
      </w:r>
      <w:proofErr w:type="spellStart"/>
      <w:r w:rsidR="00C549C6" w:rsidRPr="00DA6ECE">
        <w:rPr>
          <w:bCs/>
        </w:rPr>
        <w:t>сельхозорганизаций</w:t>
      </w:r>
      <w:proofErr w:type="spellEnd"/>
      <w:r w:rsidR="00C549C6" w:rsidRPr="00DA6ECE">
        <w:rPr>
          <w:bCs/>
        </w:rPr>
        <w:t xml:space="preserve"> за 10 лет площадь с/</w:t>
      </w:r>
      <w:proofErr w:type="spellStart"/>
      <w:r w:rsidR="00C549C6" w:rsidRPr="00DA6ECE">
        <w:rPr>
          <w:bCs/>
        </w:rPr>
        <w:t>х</w:t>
      </w:r>
      <w:proofErr w:type="spellEnd"/>
      <w:r w:rsidR="00C549C6" w:rsidRPr="00DA6ECE">
        <w:rPr>
          <w:bCs/>
        </w:rPr>
        <w:t xml:space="preserve"> угодий снизилась на треть (3</w:t>
      </w:r>
      <w:r w:rsidR="00C549C6">
        <w:rPr>
          <w:bCs/>
        </w:rPr>
        <w:t>0</w:t>
      </w:r>
      <w:r w:rsidR="00C549C6" w:rsidRPr="00DA6ECE">
        <w:rPr>
          <w:bCs/>
        </w:rPr>
        <w:t>%)</w:t>
      </w:r>
      <w:r w:rsidR="00C549C6">
        <w:rPr>
          <w:bCs/>
        </w:rPr>
        <w:t>, причина в</w:t>
      </w:r>
      <w:r w:rsidR="00C549C6" w:rsidRPr="00DA6ECE">
        <w:rPr>
          <w:bCs/>
        </w:rPr>
        <w:t xml:space="preserve"> реорганиз</w:t>
      </w:r>
      <w:r w:rsidR="00C549C6">
        <w:rPr>
          <w:bCs/>
        </w:rPr>
        <w:t>ационных процессах –</w:t>
      </w:r>
      <w:r w:rsidR="00C549C6" w:rsidRPr="00DA6ECE">
        <w:rPr>
          <w:bCs/>
        </w:rPr>
        <w:t xml:space="preserve"> ликвид</w:t>
      </w:r>
      <w:r w:rsidR="00C549C6">
        <w:rPr>
          <w:bCs/>
        </w:rPr>
        <w:t xml:space="preserve">ации предприятий и </w:t>
      </w:r>
      <w:r w:rsidR="00C549C6" w:rsidRPr="00DA6ECE">
        <w:rPr>
          <w:bCs/>
        </w:rPr>
        <w:t xml:space="preserve"> перераспредел</w:t>
      </w:r>
      <w:r w:rsidR="00C549C6">
        <w:rPr>
          <w:bCs/>
        </w:rPr>
        <w:t>ении их угодий</w:t>
      </w:r>
      <w:r w:rsidR="00C549C6" w:rsidRPr="00DA6ECE">
        <w:rPr>
          <w:bCs/>
        </w:rPr>
        <w:t xml:space="preserve"> между крестьянскими (фермерскими) хозяйствами</w:t>
      </w:r>
      <w:r w:rsidR="00C549C6">
        <w:rPr>
          <w:bCs/>
        </w:rPr>
        <w:t xml:space="preserve"> (КФХ) и ЛПХ</w:t>
      </w:r>
      <w:r w:rsidR="003F598A">
        <w:rPr>
          <w:bCs/>
        </w:rPr>
        <w:t>. Та</w:t>
      </w:r>
      <w:r w:rsidR="00C549C6" w:rsidRPr="00DA6ECE">
        <w:rPr>
          <w:bCs/>
        </w:rPr>
        <w:t>к</w:t>
      </w:r>
      <w:r w:rsidR="00C549C6">
        <w:rPr>
          <w:bCs/>
        </w:rPr>
        <w:t xml:space="preserve">им образом, </w:t>
      </w:r>
      <w:r w:rsidR="00C549C6" w:rsidRPr="00DA6ECE">
        <w:rPr>
          <w:bCs/>
        </w:rPr>
        <w:t xml:space="preserve"> </w:t>
      </w:r>
      <w:r w:rsidR="00C549C6">
        <w:rPr>
          <w:bCs/>
        </w:rPr>
        <w:t xml:space="preserve">КФХ </w:t>
      </w:r>
      <w:r w:rsidR="00C549C6" w:rsidRPr="00DA6ECE">
        <w:rPr>
          <w:bCs/>
        </w:rPr>
        <w:t>и ИП за счет перераспределения с/</w:t>
      </w:r>
      <w:proofErr w:type="spellStart"/>
      <w:r w:rsidR="00C549C6" w:rsidRPr="00DA6ECE">
        <w:rPr>
          <w:bCs/>
        </w:rPr>
        <w:t>х</w:t>
      </w:r>
      <w:proofErr w:type="spellEnd"/>
      <w:r w:rsidR="00C549C6" w:rsidRPr="00DA6ECE">
        <w:rPr>
          <w:bCs/>
        </w:rPr>
        <w:t xml:space="preserve"> </w:t>
      </w:r>
      <w:proofErr w:type="spellStart"/>
      <w:r w:rsidR="00C549C6" w:rsidRPr="00DA6ECE">
        <w:rPr>
          <w:bCs/>
        </w:rPr>
        <w:t>угоди</w:t>
      </w:r>
      <w:r w:rsidR="006946D6">
        <w:rPr>
          <w:bCs/>
        </w:rPr>
        <w:t>я</w:t>
      </w:r>
      <w:proofErr w:type="spellEnd"/>
      <w:r w:rsidR="00C549C6" w:rsidRPr="00DA6ECE">
        <w:rPr>
          <w:bCs/>
        </w:rPr>
        <w:t xml:space="preserve"> увелич</w:t>
      </w:r>
      <w:r w:rsidR="006946D6">
        <w:rPr>
          <w:bCs/>
        </w:rPr>
        <w:t>ились</w:t>
      </w:r>
      <w:r w:rsidR="00C549C6">
        <w:rPr>
          <w:bCs/>
        </w:rPr>
        <w:t xml:space="preserve"> в 4 раза.</w:t>
      </w:r>
      <w:r w:rsidR="00C549C6" w:rsidRPr="00DA6ECE">
        <w:rPr>
          <w:bCs/>
        </w:rPr>
        <w:t xml:space="preserve"> В хозяйствах населения с</w:t>
      </w:r>
      <w:r w:rsidR="00C549C6">
        <w:rPr>
          <w:bCs/>
        </w:rPr>
        <w:t>ельхозугодия</w:t>
      </w:r>
      <w:r w:rsidR="00C549C6" w:rsidRPr="00DA6ECE">
        <w:rPr>
          <w:bCs/>
        </w:rPr>
        <w:t xml:space="preserve"> увеличились </w:t>
      </w:r>
      <w:r w:rsidR="00C549C6">
        <w:rPr>
          <w:bCs/>
        </w:rPr>
        <w:t xml:space="preserve">в 1,8 раз. </w:t>
      </w:r>
      <w:r w:rsidR="00C549C6" w:rsidRPr="00DA6ECE">
        <w:rPr>
          <w:bCs/>
        </w:rPr>
        <w:t xml:space="preserve"> </w:t>
      </w:r>
    </w:p>
    <w:p w:rsidR="00D00009" w:rsidRDefault="00D00009" w:rsidP="003F598A">
      <w:pPr>
        <w:pStyle w:val="a3"/>
        <w:ind w:firstLine="708"/>
        <w:rPr>
          <w:bCs/>
        </w:rPr>
      </w:pPr>
      <w:r w:rsidRPr="00B97DFE">
        <w:rPr>
          <w:bCs/>
        </w:rPr>
        <w:t xml:space="preserve">Самый главный показатель, определяющий объемы урожая, а значит и цены на местную продукцию - посевная площадь сельхозугодий. </w:t>
      </w:r>
    </w:p>
    <w:p w:rsidR="00DA6ECE" w:rsidRDefault="00DA6ECE" w:rsidP="003F598A">
      <w:pPr>
        <w:pStyle w:val="a3"/>
        <w:ind w:firstLine="708"/>
        <w:rPr>
          <w:bCs/>
        </w:rPr>
      </w:pPr>
      <w:proofErr w:type="gramStart"/>
      <w:r>
        <w:rPr>
          <w:bCs/>
        </w:rPr>
        <w:t>П</w:t>
      </w:r>
      <w:r w:rsidRPr="00B97DFE">
        <w:rPr>
          <w:bCs/>
        </w:rPr>
        <w:t xml:space="preserve">о </w:t>
      </w:r>
      <w:r>
        <w:rPr>
          <w:bCs/>
        </w:rPr>
        <w:t>муниципальному району п</w:t>
      </w:r>
      <w:r w:rsidRPr="00B97DFE">
        <w:rPr>
          <w:bCs/>
        </w:rPr>
        <w:t>осевные площади с/</w:t>
      </w:r>
      <w:proofErr w:type="spellStart"/>
      <w:r w:rsidRPr="00B97DFE">
        <w:rPr>
          <w:bCs/>
        </w:rPr>
        <w:t>х</w:t>
      </w:r>
      <w:proofErr w:type="spellEnd"/>
      <w:r w:rsidRPr="00B97DFE">
        <w:rPr>
          <w:bCs/>
        </w:rPr>
        <w:t xml:space="preserve"> культур сократились в целом </w:t>
      </w:r>
      <w:r>
        <w:rPr>
          <w:bCs/>
        </w:rPr>
        <w:t>на 6</w:t>
      </w:r>
      <w:r w:rsidRPr="00B97DFE">
        <w:rPr>
          <w:bCs/>
        </w:rPr>
        <w:t>%</w:t>
      </w:r>
      <w:r>
        <w:rPr>
          <w:bCs/>
        </w:rPr>
        <w:t xml:space="preserve"> </w:t>
      </w:r>
      <w:r w:rsidRPr="00B97DFE">
        <w:rPr>
          <w:bCs/>
        </w:rPr>
        <w:t xml:space="preserve">- в сельскохозяйственных организациях – на </w:t>
      </w:r>
      <w:r>
        <w:rPr>
          <w:bCs/>
        </w:rPr>
        <w:t>18</w:t>
      </w:r>
      <w:r w:rsidRPr="00B97DFE">
        <w:rPr>
          <w:bCs/>
        </w:rPr>
        <w:t xml:space="preserve">%, </w:t>
      </w:r>
      <w:r>
        <w:rPr>
          <w:bCs/>
        </w:rPr>
        <w:t xml:space="preserve"> </w:t>
      </w:r>
      <w:r w:rsidRPr="00B97DFE">
        <w:rPr>
          <w:bCs/>
        </w:rPr>
        <w:t xml:space="preserve">на участках в садоводческих и огороднических объединениях </w:t>
      </w:r>
      <w:r>
        <w:rPr>
          <w:bCs/>
        </w:rPr>
        <w:t xml:space="preserve">на 11%). </w:t>
      </w:r>
      <w:proofErr w:type="gramEnd"/>
    </w:p>
    <w:p w:rsidR="00DA6ECE" w:rsidRDefault="00DA6ECE" w:rsidP="003F598A">
      <w:pPr>
        <w:pStyle w:val="a3"/>
        <w:ind w:firstLine="708"/>
        <w:rPr>
          <w:bCs/>
        </w:rPr>
      </w:pPr>
      <w:r>
        <w:rPr>
          <w:bCs/>
        </w:rPr>
        <w:t xml:space="preserve">Прирост посевных площадей отмечается у КФХ в 3,4 раза и в ЛПХ в 1,5 раза за счет увеличения объектов (рост количества КФХ и рост ЛПХ за счет выделения земельных участков многодетным семьям и активной застройкой жилья в районе). </w:t>
      </w:r>
    </w:p>
    <w:p w:rsidR="008909F9" w:rsidRDefault="00E16B56" w:rsidP="00E16B56">
      <w:pPr>
        <w:pStyle w:val="a3"/>
        <w:ind w:firstLine="708"/>
        <w:jc w:val="right"/>
        <w:rPr>
          <w:bCs/>
        </w:rPr>
      </w:pPr>
      <w:r>
        <w:rPr>
          <w:bCs/>
        </w:rPr>
        <w:lastRenderedPageBreak/>
        <w:t>Рисунок 3</w:t>
      </w:r>
    </w:p>
    <w:p w:rsidR="00857616" w:rsidRDefault="00A524F5" w:rsidP="00A31248">
      <w:pPr>
        <w:pStyle w:val="a3"/>
        <w:ind w:firstLine="0"/>
        <w:rPr>
          <w:bCs/>
        </w:rPr>
      </w:pPr>
      <w:r w:rsidRPr="00A524F5">
        <w:rPr>
          <w:bCs/>
          <w:noProof/>
          <w:lang w:eastAsia="ru-RU"/>
        </w:rPr>
        <w:drawing>
          <wp:inline distT="0" distB="0" distL="0" distR="0">
            <wp:extent cx="5724525" cy="4076700"/>
            <wp:effectExtent l="19050" t="0" r="28575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7616" w:rsidRDefault="00857616" w:rsidP="00A31248">
      <w:pPr>
        <w:pStyle w:val="a3"/>
        <w:ind w:firstLine="0"/>
        <w:rPr>
          <w:bCs/>
        </w:rPr>
      </w:pPr>
    </w:p>
    <w:p w:rsidR="00F540F3" w:rsidRDefault="0019409F" w:rsidP="000D76C7">
      <w:pPr>
        <w:pStyle w:val="a3"/>
        <w:ind w:firstLine="0"/>
        <w:jc w:val="right"/>
        <w:rPr>
          <w:bCs/>
        </w:rPr>
      </w:pPr>
      <w:r>
        <w:rPr>
          <w:bCs/>
        </w:rPr>
        <w:tab/>
      </w:r>
      <w:r w:rsidR="000D76C7">
        <w:rPr>
          <w:bCs/>
        </w:rPr>
        <w:t>Рисунок 4</w:t>
      </w:r>
    </w:p>
    <w:p w:rsidR="00F540F3" w:rsidRDefault="00F540F3" w:rsidP="00F540F3">
      <w:pPr>
        <w:pStyle w:val="a3"/>
        <w:ind w:firstLine="0"/>
        <w:rPr>
          <w:bCs/>
        </w:rPr>
      </w:pPr>
    </w:p>
    <w:p w:rsidR="00F540F3" w:rsidRDefault="00F540F3" w:rsidP="00A31248">
      <w:pPr>
        <w:pStyle w:val="a3"/>
        <w:ind w:firstLine="0"/>
        <w:rPr>
          <w:bCs/>
        </w:rPr>
      </w:pPr>
      <w:r w:rsidRPr="00F540F3">
        <w:rPr>
          <w:bCs/>
        </w:rPr>
        <w:drawing>
          <wp:inline distT="0" distB="0" distL="0" distR="0">
            <wp:extent cx="5981700" cy="40005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40F3" w:rsidRDefault="00F540F3" w:rsidP="00F540F3">
      <w:pPr>
        <w:pStyle w:val="a3"/>
        <w:ind w:firstLine="0"/>
        <w:rPr>
          <w:bCs/>
        </w:rPr>
      </w:pPr>
    </w:p>
    <w:p w:rsidR="00F540F3" w:rsidRDefault="00F540F3" w:rsidP="00F540F3">
      <w:pPr>
        <w:pStyle w:val="a3"/>
        <w:ind w:firstLine="708"/>
        <w:rPr>
          <w:bCs/>
        </w:rPr>
      </w:pPr>
      <w:r>
        <w:rPr>
          <w:bCs/>
        </w:rPr>
        <w:lastRenderedPageBreak/>
        <w:t>В структуре посевов ДНТ и СНТ 66,2 % отведено под картофель, овощи занимают 33,7%, однолетние травы 0,1%.</w:t>
      </w:r>
    </w:p>
    <w:p w:rsidR="00F540F3" w:rsidRDefault="00D34D00" w:rsidP="00D34D00">
      <w:pPr>
        <w:pStyle w:val="a3"/>
        <w:ind w:firstLine="708"/>
        <w:rPr>
          <w:bCs/>
        </w:rPr>
      </w:pPr>
      <w:r>
        <w:rPr>
          <w:bCs/>
        </w:rPr>
        <w:t>Следует отметить, что только в некоммерческих объединениях граждан увеличились площади под картофелем</w:t>
      </w:r>
      <w:r w:rsidR="00F11FCC">
        <w:rPr>
          <w:bCs/>
        </w:rPr>
        <w:t xml:space="preserve"> (рост на 7,4%) </w:t>
      </w:r>
      <w:r>
        <w:rPr>
          <w:bCs/>
        </w:rPr>
        <w:t xml:space="preserve">. В целом </w:t>
      </w:r>
      <w:r w:rsidR="00F11FCC">
        <w:rPr>
          <w:bCs/>
        </w:rPr>
        <w:t xml:space="preserve">по стране и  </w:t>
      </w:r>
      <w:r>
        <w:rPr>
          <w:bCs/>
        </w:rPr>
        <w:t>по району  картофел</w:t>
      </w:r>
      <w:r w:rsidR="00032225">
        <w:rPr>
          <w:bCs/>
        </w:rPr>
        <w:t>ь</w:t>
      </w:r>
      <w:r w:rsidR="00C549D0">
        <w:rPr>
          <w:bCs/>
        </w:rPr>
        <w:t xml:space="preserve"> </w:t>
      </w:r>
      <w:r w:rsidR="00032225">
        <w:rPr>
          <w:bCs/>
        </w:rPr>
        <w:t xml:space="preserve">уступил свои позиции </w:t>
      </w:r>
      <w:r w:rsidR="00C549D0">
        <w:rPr>
          <w:bCs/>
        </w:rPr>
        <w:t>(</w:t>
      </w:r>
      <w:r w:rsidR="00254152">
        <w:rPr>
          <w:bCs/>
        </w:rPr>
        <w:t xml:space="preserve">в районе </w:t>
      </w:r>
      <w:r w:rsidR="00C549D0">
        <w:rPr>
          <w:bCs/>
        </w:rPr>
        <w:t>снижение</w:t>
      </w:r>
      <w:r w:rsidR="00F11FCC" w:rsidRPr="00F11FCC">
        <w:rPr>
          <w:bCs/>
        </w:rPr>
        <w:t xml:space="preserve"> </w:t>
      </w:r>
      <w:r w:rsidR="00F11FCC">
        <w:rPr>
          <w:bCs/>
        </w:rPr>
        <w:t>на 6,4 %</w:t>
      </w:r>
      <w:r w:rsidR="00254152">
        <w:rPr>
          <w:bCs/>
        </w:rPr>
        <w:t>, по России снижение на 33%</w:t>
      </w:r>
      <w:r w:rsidR="00C549D0">
        <w:rPr>
          <w:bCs/>
        </w:rPr>
        <w:t>)</w:t>
      </w:r>
      <w:r>
        <w:rPr>
          <w:bCs/>
        </w:rPr>
        <w:t>.</w:t>
      </w:r>
      <w:r w:rsidR="00032225">
        <w:rPr>
          <w:bCs/>
        </w:rPr>
        <w:t xml:space="preserve"> </w:t>
      </w:r>
    </w:p>
    <w:p w:rsidR="00254152" w:rsidRDefault="000D76C7" w:rsidP="00D34D00">
      <w:pPr>
        <w:pStyle w:val="a3"/>
        <w:ind w:firstLine="708"/>
        <w:rPr>
          <w:bCs/>
        </w:rPr>
      </w:pPr>
      <w:r>
        <w:rPr>
          <w:bCs/>
        </w:rPr>
        <w:t>На дачах с</w:t>
      </w:r>
      <w:r w:rsidR="00032225">
        <w:rPr>
          <w:bCs/>
        </w:rPr>
        <w:t>ократил</w:t>
      </w:r>
      <w:r>
        <w:rPr>
          <w:bCs/>
        </w:rPr>
        <w:t>а</w:t>
      </w:r>
      <w:r w:rsidR="00032225">
        <w:rPr>
          <w:bCs/>
        </w:rPr>
        <w:t>сь на треть (33%) площад</w:t>
      </w:r>
      <w:r>
        <w:rPr>
          <w:bCs/>
        </w:rPr>
        <w:t>ь</w:t>
      </w:r>
      <w:r w:rsidR="00032225">
        <w:rPr>
          <w:bCs/>
        </w:rPr>
        <w:t xml:space="preserve"> под овощами</w:t>
      </w:r>
      <w:r>
        <w:rPr>
          <w:bCs/>
        </w:rPr>
        <w:t xml:space="preserve"> -</w:t>
      </w:r>
      <w:r w:rsidR="00032225">
        <w:rPr>
          <w:bCs/>
        </w:rPr>
        <w:t xml:space="preserve"> </w:t>
      </w:r>
      <w:proofErr w:type="gramStart"/>
      <w:r w:rsidR="00032225">
        <w:rPr>
          <w:bCs/>
        </w:rPr>
        <w:t>по прежнему</w:t>
      </w:r>
      <w:proofErr w:type="gramEnd"/>
      <w:r w:rsidR="00032225">
        <w:rPr>
          <w:bCs/>
        </w:rPr>
        <w:t xml:space="preserve"> фавориты помидоры, репчатый лук, морковь.</w:t>
      </w:r>
    </w:p>
    <w:p w:rsidR="000D76C7" w:rsidRDefault="000D76C7" w:rsidP="00D34D00">
      <w:pPr>
        <w:pStyle w:val="a3"/>
        <w:ind w:firstLine="708"/>
        <w:rPr>
          <w:bCs/>
        </w:rPr>
      </w:pPr>
    </w:p>
    <w:p w:rsidR="00D34D00" w:rsidRDefault="00D34D00" w:rsidP="008C1CF9">
      <w:pPr>
        <w:pStyle w:val="a3"/>
        <w:ind w:firstLine="0"/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210175" cy="3711749"/>
            <wp:effectExtent l="19050" t="0" r="9525" b="0"/>
            <wp:docPr id="4" name="Рисунок 4" descr="C:\Documents and Settings\tykai\Local Settings\Temporary Internet Files\Content.Word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ykai\Local Settings\Temporary Internet Files\Content.Word\wx10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888" cy="371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9D0" w:rsidRDefault="00C549D0" w:rsidP="00A31248">
      <w:pPr>
        <w:pStyle w:val="a3"/>
        <w:ind w:firstLine="0"/>
        <w:rPr>
          <w:bCs/>
        </w:rPr>
      </w:pPr>
    </w:p>
    <w:p w:rsidR="00D34D00" w:rsidRDefault="00C549D0" w:rsidP="00C549D0">
      <w:pPr>
        <w:pStyle w:val="a3"/>
        <w:ind w:firstLine="708"/>
        <w:rPr>
          <w:bCs/>
        </w:rPr>
      </w:pPr>
      <w:r>
        <w:rPr>
          <w:bCs/>
        </w:rPr>
        <w:t xml:space="preserve">Кроме того, </w:t>
      </w:r>
      <w:r w:rsidRPr="000D76C7">
        <w:rPr>
          <w:bCs/>
        </w:rPr>
        <w:t>в некоммерческих объединениях граждан</w:t>
      </w:r>
      <w:r w:rsidR="000D76C7">
        <w:rPr>
          <w:bCs/>
        </w:rPr>
        <w:t xml:space="preserve">е активно разводят </w:t>
      </w:r>
      <w:r w:rsidRPr="00C549D0">
        <w:rPr>
          <w:bCs/>
        </w:rPr>
        <w:t> </w:t>
      </w:r>
      <w:r>
        <w:rPr>
          <w:bCs/>
        </w:rPr>
        <w:t xml:space="preserve"> </w:t>
      </w:r>
      <w:r w:rsidR="000D76C7">
        <w:rPr>
          <w:bCs/>
        </w:rPr>
        <w:t xml:space="preserve">кур  -  </w:t>
      </w:r>
      <w:r>
        <w:rPr>
          <w:bCs/>
        </w:rPr>
        <w:t>с 206 голов до 633.</w:t>
      </w:r>
    </w:p>
    <w:p w:rsidR="008C1CF9" w:rsidRDefault="008C1CF9" w:rsidP="008C1CF9">
      <w:pPr>
        <w:pStyle w:val="a3"/>
        <w:ind w:firstLine="0"/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267325" cy="2914650"/>
            <wp:effectExtent l="19050" t="0" r="9525" b="0"/>
            <wp:docPr id="7" name="Рисунок 7" descr="C:\Documents and Settings\tykai\Local Settings\Temporary Internet Files\Content.Word\дизе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ykai\Local Settings\Temporary Internet Files\Content.Word\дизелис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37" cy="291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F9" w:rsidRDefault="008C1CF9" w:rsidP="00C549D0">
      <w:pPr>
        <w:pStyle w:val="a3"/>
        <w:ind w:firstLine="708"/>
        <w:rPr>
          <w:bCs/>
        </w:rPr>
      </w:pPr>
    </w:p>
    <w:p w:rsidR="00C549D0" w:rsidRDefault="00C549D0" w:rsidP="00C549D0">
      <w:pPr>
        <w:pStyle w:val="a3"/>
        <w:ind w:firstLine="708"/>
        <w:rPr>
          <w:bCs/>
        </w:rPr>
      </w:pPr>
      <w:r>
        <w:rPr>
          <w:bCs/>
        </w:rPr>
        <w:lastRenderedPageBreak/>
        <w:t xml:space="preserve">А вот обеспеченность объектами инфраструктуры </w:t>
      </w:r>
      <w:r w:rsidR="00254152">
        <w:rPr>
          <w:bCs/>
        </w:rPr>
        <w:t xml:space="preserve">в </w:t>
      </w:r>
      <w:r w:rsidR="000D76C7">
        <w:rPr>
          <w:bCs/>
        </w:rPr>
        <w:t>ДНТ и СНТ</w:t>
      </w:r>
      <w:r w:rsidR="00254152">
        <w:rPr>
          <w:bCs/>
        </w:rPr>
        <w:t xml:space="preserve"> </w:t>
      </w:r>
      <w:r>
        <w:rPr>
          <w:bCs/>
        </w:rPr>
        <w:t>низкая</w:t>
      </w:r>
      <w:r w:rsidR="00254152">
        <w:rPr>
          <w:bCs/>
        </w:rPr>
        <w:t>:</w:t>
      </w:r>
    </w:p>
    <w:p w:rsidR="00254152" w:rsidRDefault="00254152" w:rsidP="00254152">
      <w:pPr>
        <w:pStyle w:val="a3"/>
        <w:ind w:firstLine="708"/>
        <w:rPr>
          <w:bCs/>
        </w:rPr>
      </w:pPr>
      <w:r>
        <w:rPr>
          <w:bCs/>
        </w:rPr>
        <w:t>-</w:t>
      </w:r>
      <w:r w:rsidR="000D76C7">
        <w:rPr>
          <w:bCs/>
        </w:rPr>
        <w:t xml:space="preserve"> </w:t>
      </w:r>
      <w:r>
        <w:rPr>
          <w:bCs/>
        </w:rPr>
        <w:t xml:space="preserve"> сетям</w:t>
      </w:r>
      <w:r w:rsidR="000D76C7">
        <w:rPr>
          <w:bCs/>
        </w:rPr>
        <w:t>и</w:t>
      </w:r>
      <w:r>
        <w:rPr>
          <w:bCs/>
        </w:rPr>
        <w:t xml:space="preserve"> газоснабжения 2,5%</w:t>
      </w:r>
    </w:p>
    <w:p w:rsidR="00C549D0" w:rsidRDefault="00C549D0" w:rsidP="00C549D0">
      <w:pPr>
        <w:pStyle w:val="a3"/>
        <w:ind w:firstLine="708"/>
        <w:rPr>
          <w:bCs/>
        </w:rPr>
      </w:pPr>
      <w:r>
        <w:rPr>
          <w:bCs/>
        </w:rPr>
        <w:t>- сетям</w:t>
      </w:r>
      <w:r w:rsidR="000D76C7">
        <w:rPr>
          <w:bCs/>
        </w:rPr>
        <w:t>и</w:t>
      </w:r>
      <w:r>
        <w:rPr>
          <w:bCs/>
        </w:rPr>
        <w:t xml:space="preserve"> водоснабжения 41,8%</w:t>
      </w:r>
    </w:p>
    <w:p w:rsidR="00254152" w:rsidRDefault="00254152" w:rsidP="00C549D0">
      <w:pPr>
        <w:pStyle w:val="a3"/>
        <w:ind w:firstLine="708"/>
        <w:rPr>
          <w:bCs/>
        </w:rPr>
      </w:pPr>
      <w:r>
        <w:rPr>
          <w:bCs/>
        </w:rPr>
        <w:t>- автономны</w:t>
      </w:r>
      <w:r w:rsidR="00EF4965">
        <w:rPr>
          <w:bCs/>
        </w:rPr>
        <w:t>ми</w:t>
      </w:r>
      <w:r>
        <w:rPr>
          <w:bCs/>
        </w:rPr>
        <w:t xml:space="preserve"> источник</w:t>
      </w:r>
      <w:r w:rsidR="00EF4965">
        <w:rPr>
          <w:bCs/>
        </w:rPr>
        <w:t>ами</w:t>
      </w:r>
      <w:r>
        <w:rPr>
          <w:bCs/>
        </w:rPr>
        <w:t xml:space="preserve"> водоснабжения 59,5%</w:t>
      </w:r>
    </w:p>
    <w:p w:rsidR="00254152" w:rsidRDefault="00254152" w:rsidP="00C549D0">
      <w:pPr>
        <w:pStyle w:val="a3"/>
        <w:ind w:firstLine="708"/>
        <w:rPr>
          <w:bCs/>
        </w:rPr>
      </w:pPr>
      <w:r>
        <w:rPr>
          <w:bCs/>
        </w:rPr>
        <w:t>-наличие охраны 63,3%,</w:t>
      </w:r>
    </w:p>
    <w:p w:rsidR="00254152" w:rsidRDefault="00254152" w:rsidP="00C549D0">
      <w:pPr>
        <w:pStyle w:val="a3"/>
        <w:ind w:firstLine="708"/>
        <w:rPr>
          <w:bCs/>
        </w:rPr>
      </w:pPr>
      <w:r>
        <w:rPr>
          <w:bCs/>
        </w:rPr>
        <w:t>- телефонн</w:t>
      </w:r>
      <w:r w:rsidR="00EF4965">
        <w:rPr>
          <w:bCs/>
        </w:rPr>
        <w:t>ой</w:t>
      </w:r>
      <w:r>
        <w:rPr>
          <w:bCs/>
        </w:rPr>
        <w:t xml:space="preserve"> связь</w:t>
      </w:r>
      <w:r w:rsidR="00EF4965">
        <w:rPr>
          <w:bCs/>
        </w:rPr>
        <w:t>ю</w:t>
      </w:r>
      <w:r>
        <w:rPr>
          <w:bCs/>
        </w:rPr>
        <w:t xml:space="preserve"> 94,9%</w:t>
      </w:r>
    </w:p>
    <w:p w:rsidR="00254152" w:rsidRDefault="00254152" w:rsidP="00C549D0">
      <w:pPr>
        <w:pStyle w:val="a3"/>
        <w:ind w:firstLine="708"/>
        <w:rPr>
          <w:bCs/>
        </w:rPr>
      </w:pPr>
      <w:r>
        <w:rPr>
          <w:bCs/>
        </w:rPr>
        <w:t>- электроснабжени</w:t>
      </w:r>
      <w:r w:rsidR="00EF4965">
        <w:rPr>
          <w:bCs/>
        </w:rPr>
        <w:t>ем</w:t>
      </w:r>
      <w:r>
        <w:rPr>
          <w:bCs/>
        </w:rPr>
        <w:t xml:space="preserve"> 97,5%</w:t>
      </w:r>
      <w:r w:rsidR="00DE6F92">
        <w:rPr>
          <w:bCs/>
        </w:rPr>
        <w:t>.</w:t>
      </w:r>
    </w:p>
    <w:p w:rsidR="00C4561B" w:rsidRDefault="00C4561B" w:rsidP="00C549D0">
      <w:pPr>
        <w:pStyle w:val="a3"/>
        <w:ind w:firstLine="708"/>
        <w:rPr>
          <w:bCs/>
        </w:rPr>
      </w:pPr>
    </w:p>
    <w:p w:rsidR="00EF4965" w:rsidRDefault="00DE6F92" w:rsidP="00C549D0">
      <w:pPr>
        <w:pStyle w:val="a3"/>
        <w:ind w:firstLine="708"/>
        <w:rPr>
          <w:rFonts w:cs="Times New Roman"/>
          <w:bCs/>
          <w:szCs w:val="28"/>
        </w:rPr>
      </w:pPr>
      <w:r w:rsidRPr="00DE6F92">
        <w:rPr>
          <w:bCs/>
        </w:rPr>
        <w:t xml:space="preserve">Для решения </w:t>
      </w:r>
      <w:r w:rsidR="000B33DA">
        <w:rPr>
          <w:bCs/>
        </w:rPr>
        <w:t xml:space="preserve">выявленных в ходе переписи </w:t>
      </w:r>
      <w:r w:rsidRPr="00DE6F92">
        <w:rPr>
          <w:bCs/>
        </w:rPr>
        <w:t xml:space="preserve">проблем по поручению Президента </w:t>
      </w:r>
      <w:r w:rsidR="000D76C7">
        <w:rPr>
          <w:bCs/>
        </w:rPr>
        <w:t xml:space="preserve">Республики </w:t>
      </w:r>
      <w:r w:rsidRPr="00DE6F92">
        <w:rPr>
          <w:bCs/>
        </w:rPr>
        <w:t>Татарстан реализуется трехлетняя программа развити</w:t>
      </w:r>
      <w:r w:rsidR="000B33DA">
        <w:rPr>
          <w:bCs/>
        </w:rPr>
        <w:t>я</w:t>
      </w:r>
      <w:r w:rsidRPr="00DE6F92">
        <w:rPr>
          <w:bCs/>
        </w:rPr>
        <w:t xml:space="preserve"> инженерной инфраструктуры СНТ</w:t>
      </w:r>
      <w:r w:rsidR="00EF4965">
        <w:rPr>
          <w:bCs/>
        </w:rPr>
        <w:t xml:space="preserve"> и ДНТ</w:t>
      </w:r>
      <w:r w:rsidRPr="00DE6F92">
        <w:rPr>
          <w:bCs/>
        </w:rPr>
        <w:t xml:space="preserve">. </w:t>
      </w:r>
      <w:r w:rsidR="000B33DA">
        <w:rPr>
          <w:bCs/>
        </w:rPr>
        <w:t xml:space="preserve"> В программу </w:t>
      </w:r>
      <w:r w:rsidRPr="00DE6F92">
        <w:rPr>
          <w:bCs/>
        </w:rPr>
        <w:t xml:space="preserve"> </w:t>
      </w:r>
      <w:r w:rsidR="000B33DA" w:rsidRPr="00DE6F92">
        <w:rPr>
          <w:bCs/>
        </w:rPr>
        <w:t xml:space="preserve">вошли </w:t>
      </w:r>
      <w:r w:rsidRPr="00DE6F92">
        <w:rPr>
          <w:bCs/>
        </w:rPr>
        <w:t xml:space="preserve">8 муниципалитетов: </w:t>
      </w:r>
      <w:proofErr w:type="spellStart"/>
      <w:r w:rsidRPr="00DE6F92">
        <w:rPr>
          <w:bCs/>
        </w:rPr>
        <w:t>Альметьевский</w:t>
      </w:r>
      <w:proofErr w:type="spellEnd"/>
      <w:r w:rsidRPr="00DE6F92">
        <w:rPr>
          <w:bCs/>
        </w:rPr>
        <w:t xml:space="preserve">, </w:t>
      </w:r>
      <w:proofErr w:type="spellStart"/>
      <w:r w:rsidRPr="00DE6F92">
        <w:rPr>
          <w:bCs/>
        </w:rPr>
        <w:t>Верхнеуслонский</w:t>
      </w:r>
      <w:proofErr w:type="spellEnd"/>
      <w:r w:rsidRPr="00DE6F92">
        <w:rPr>
          <w:bCs/>
        </w:rPr>
        <w:t xml:space="preserve">, </w:t>
      </w:r>
      <w:proofErr w:type="spellStart"/>
      <w:r w:rsidRPr="00DE6F92">
        <w:rPr>
          <w:bCs/>
        </w:rPr>
        <w:t>Высокогорский</w:t>
      </w:r>
      <w:proofErr w:type="spellEnd"/>
      <w:r w:rsidRPr="00DE6F92">
        <w:rPr>
          <w:bCs/>
        </w:rPr>
        <w:t xml:space="preserve">, </w:t>
      </w:r>
      <w:proofErr w:type="spellStart"/>
      <w:r w:rsidRPr="00DE6F92">
        <w:rPr>
          <w:bCs/>
        </w:rPr>
        <w:t>Зеленодольский</w:t>
      </w:r>
      <w:proofErr w:type="spellEnd"/>
      <w:r w:rsidRPr="00DE6F92">
        <w:rPr>
          <w:bCs/>
        </w:rPr>
        <w:t xml:space="preserve">, </w:t>
      </w:r>
      <w:proofErr w:type="spellStart"/>
      <w:r w:rsidRPr="00DE6F92">
        <w:rPr>
          <w:bCs/>
        </w:rPr>
        <w:t>Лаишевский</w:t>
      </w:r>
      <w:proofErr w:type="spellEnd"/>
      <w:r w:rsidRPr="00DE6F92">
        <w:rPr>
          <w:bCs/>
        </w:rPr>
        <w:t xml:space="preserve">, </w:t>
      </w:r>
      <w:proofErr w:type="gramStart"/>
      <w:r w:rsidRPr="00DE6F92">
        <w:rPr>
          <w:bCs/>
        </w:rPr>
        <w:t>Нижнекамский</w:t>
      </w:r>
      <w:proofErr w:type="gramEnd"/>
      <w:r w:rsidR="000D76C7">
        <w:rPr>
          <w:bCs/>
        </w:rPr>
        <w:t>,  Тукаевский районы и              г.</w:t>
      </w:r>
      <w:r w:rsidRPr="00DE6F92">
        <w:rPr>
          <w:bCs/>
        </w:rPr>
        <w:t xml:space="preserve"> Казань — это места с наиболее плотно заселенными СНТ.</w:t>
      </w:r>
      <w:r w:rsidR="000B33DA" w:rsidRPr="000B33DA">
        <w:rPr>
          <w:rFonts w:ascii="Trebuchet MS" w:eastAsia="Times New Roman" w:hAnsi="Trebuchet MS" w:cs="Times New Roman"/>
          <w:color w:val="3E3E3E"/>
          <w:szCs w:val="28"/>
          <w:shd w:val="clear" w:color="auto" w:fill="FFFFFF"/>
          <w:lang w:eastAsia="ru-RU"/>
        </w:rPr>
        <w:t xml:space="preserve"> </w:t>
      </w:r>
      <w:r w:rsidR="000B33DA" w:rsidRPr="000B33DA">
        <w:rPr>
          <w:bCs/>
        </w:rPr>
        <w:t xml:space="preserve">Кроме этого, </w:t>
      </w:r>
      <w:r w:rsidR="00391B0B" w:rsidRPr="000D76C7">
        <w:rPr>
          <w:rFonts w:cs="Times New Roman"/>
          <w:bCs/>
          <w:szCs w:val="28"/>
        </w:rPr>
        <w:t xml:space="preserve">стартует программа </w:t>
      </w:r>
      <w:proofErr w:type="spellStart"/>
      <w:r w:rsidR="00391B0B" w:rsidRPr="000D76C7">
        <w:rPr>
          <w:rFonts w:cs="Times New Roman"/>
          <w:bCs/>
          <w:szCs w:val="28"/>
        </w:rPr>
        <w:t>софинансирования</w:t>
      </w:r>
      <w:proofErr w:type="spellEnd"/>
      <w:r w:rsidR="00391B0B" w:rsidRPr="000D76C7">
        <w:rPr>
          <w:rFonts w:cs="Times New Roman"/>
          <w:bCs/>
          <w:szCs w:val="28"/>
        </w:rPr>
        <w:t xml:space="preserve"> капитального ремонта и строительства объектов внутренней инфраструктуры</w:t>
      </w:r>
      <w:r w:rsidR="00EF4965">
        <w:rPr>
          <w:rFonts w:cs="Times New Roman"/>
          <w:bCs/>
          <w:szCs w:val="28"/>
        </w:rPr>
        <w:t xml:space="preserve"> объединений граждан</w:t>
      </w:r>
      <w:r w:rsidR="000B33DA" w:rsidRPr="000D76C7">
        <w:rPr>
          <w:rFonts w:cs="Times New Roman"/>
          <w:bCs/>
          <w:szCs w:val="28"/>
        </w:rPr>
        <w:t>.</w:t>
      </w:r>
      <w:r w:rsidR="00391B0B" w:rsidRPr="000D76C7">
        <w:rPr>
          <w:rFonts w:eastAsia="Times New Roman" w:cs="Times New Roman"/>
          <w:color w:val="293239"/>
          <w:szCs w:val="28"/>
          <w:lang w:eastAsia="ru-RU"/>
        </w:rPr>
        <w:t xml:space="preserve"> </w:t>
      </w:r>
      <w:r w:rsidR="000D76C7" w:rsidRPr="000D76C7">
        <w:rPr>
          <w:rFonts w:eastAsia="Times New Roman" w:cs="Times New Roman"/>
          <w:color w:val="293239"/>
          <w:szCs w:val="28"/>
          <w:lang w:eastAsia="ru-RU"/>
        </w:rPr>
        <w:t>П</w:t>
      </w:r>
      <w:r w:rsidR="00391B0B" w:rsidRPr="000D76C7">
        <w:rPr>
          <w:rFonts w:cs="Times New Roman"/>
          <w:bCs/>
          <w:szCs w:val="28"/>
        </w:rPr>
        <w:t>рограмма будет работать по принципу самообложения граждан в сельских поселениях. По предложению Совета муниципальных образований РТ, на один садоводческий рубль Правительство республики выдел</w:t>
      </w:r>
      <w:r w:rsidR="000D76C7">
        <w:rPr>
          <w:rFonts w:cs="Times New Roman"/>
          <w:bCs/>
          <w:szCs w:val="28"/>
        </w:rPr>
        <w:t>ит</w:t>
      </w:r>
      <w:r w:rsidR="00391B0B" w:rsidRPr="000D76C7">
        <w:rPr>
          <w:rFonts w:cs="Times New Roman"/>
          <w:bCs/>
          <w:szCs w:val="28"/>
        </w:rPr>
        <w:t xml:space="preserve"> два бюджетных рубля.</w:t>
      </w:r>
    </w:p>
    <w:p w:rsidR="00DE6F92" w:rsidRDefault="00391B0B" w:rsidP="00C549D0">
      <w:pPr>
        <w:pStyle w:val="a3"/>
        <w:ind w:firstLine="708"/>
        <w:rPr>
          <w:bCs/>
        </w:rPr>
      </w:pPr>
      <w:r w:rsidRPr="00391B0B">
        <w:rPr>
          <w:bCs/>
        </w:rPr>
        <w:br/>
      </w:r>
    </w:p>
    <w:sectPr w:rsidR="00DE6F92" w:rsidSect="00A231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1B" w:rsidRDefault="00C4561B" w:rsidP="008C5BEC">
      <w:r>
        <w:separator/>
      </w:r>
    </w:p>
  </w:endnote>
  <w:endnote w:type="continuationSeparator" w:id="0">
    <w:p w:rsidR="00C4561B" w:rsidRDefault="00C4561B" w:rsidP="008C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1B" w:rsidRDefault="00C4561B" w:rsidP="008C5BEC">
      <w:r>
        <w:separator/>
      </w:r>
    </w:p>
  </w:footnote>
  <w:footnote w:type="continuationSeparator" w:id="0">
    <w:p w:rsidR="00C4561B" w:rsidRDefault="00C4561B" w:rsidP="008C5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E0379"/>
    <w:rsid w:val="000041AC"/>
    <w:rsid w:val="0000742B"/>
    <w:rsid w:val="00020E27"/>
    <w:rsid w:val="00032225"/>
    <w:rsid w:val="00051C89"/>
    <w:rsid w:val="000637A9"/>
    <w:rsid w:val="00064F71"/>
    <w:rsid w:val="00072986"/>
    <w:rsid w:val="00072D6D"/>
    <w:rsid w:val="000A2303"/>
    <w:rsid w:val="000B33DA"/>
    <w:rsid w:val="000B3CA5"/>
    <w:rsid w:val="000B4CD8"/>
    <w:rsid w:val="000D76C7"/>
    <w:rsid w:val="000D7DEC"/>
    <w:rsid w:val="000E7ED9"/>
    <w:rsid w:val="00112A37"/>
    <w:rsid w:val="001429E4"/>
    <w:rsid w:val="001525C9"/>
    <w:rsid w:val="00154819"/>
    <w:rsid w:val="001829D7"/>
    <w:rsid w:val="0019409F"/>
    <w:rsid w:val="001C1457"/>
    <w:rsid w:val="001D61BA"/>
    <w:rsid w:val="001E606F"/>
    <w:rsid w:val="001E7EC4"/>
    <w:rsid w:val="001F1733"/>
    <w:rsid w:val="001F7781"/>
    <w:rsid w:val="00203588"/>
    <w:rsid w:val="002178A0"/>
    <w:rsid w:val="00254152"/>
    <w:rsid w:val="002B0DD8"/>
    <w:rsid w:val="002B4C61"/>
    <w:rsid w:val="002D2FE2"/>
    <w:rsid w:val="002E2452"/>
    <w:rsid w:val="00325845"/>
    <w:rsid w:val="00325CDA"/>
    <w:rsid w:val="0033094A"/>
    <w:rsid w:val="003806D0"/>
    <w:rsid w:val="0038579C"/>
    <w:rsid w:val="00391B0B"/>
    <w:rsid w:val="003C1EB4"/>
    <w:rsid w:val="003D0EA5"/>
    <w:rsid w:val="003E3623"/>
    <w:rsid w:val="003F1010"/>
    <w:rsid w:val="003F598A"/>
    <w:rsid w:val="0045132F"/>
    <w:rsid w:val="00457F1D"/>
    <w:rsid w:val="00475467"/>
    <w:rsid w:val="004816D6"/>
    <w:rsid w:val="00494E85"/>
    <w:rsid w:val="004A1B00"/>
    <w:rsid w:val="005173D2"/>
    <w:rsid w:val="00522FA3"/>
    <w:rsid w:val="005419D4"/>
    <w:rsid w:val="005604BB"/>
    <w:rsid w:val="00584C10"/>
    <w:rsid w:val="005E37A9"/>
    <w:rsid w:val="005E732A"/>
    <w:rsid w:val="005F2BB4"/>
    <w:rsid w:val="00604561"/>
    <w:rsid w:val="00607806"/>
    <w:rsid w:val="00621CC0"/>
    <w:rsid w:val="006344AD"/>
    <w:rsid w:val="00650649"/>
    <w:rsid w:val="00667204"/>
    <w:rsid w:val="006946D6"/>
    <w:rsid w:val="006D00C0"/>
    <w:rsid w:val="006E673D"/>
    <w:rsid w:val="006F3B25"/>
    <w:rsid w:val="00703E84"/>
    <w:rsid w:val="0075407E"/>
    <w:rsid w:val="0076515A"/>
    <w:rsid w:val="00784A54"/>
    <w:rsid w:val="007A7A01"/>
    <w:rsid w:val="007B78B1"/>
    <w:rsid w:val="00817779"/>
    <w:rsid w:val="00821D24"/>
    <w:rsid w:val="00821F71"/>
    <w:rsid w:val="008339A1"/>
    <w:rsid w:val="00857616"/>
    <w:rsid w:val="008720C6"/>
    <w:rsid w:val="00874811"/>
    <w:rsid w:val="008909F9"/>
    <w:rsid w:val="00892917"/>
    <w:rsid w:val="008A00B2"/>
    <w:rsid w:val="008C1CF9"/>
    <w:rsid w:val="008C5BEC"/>
    <w:rsid w:val="008E348E"/>
    <w:rsid w:val="008E41E6"/>
    <w:rsid w:val="00902AF8"/>
    <w:rsid w:val="0091782C"/>
    <w:rsid w:val="00923BC5"/>
    <w:rsid w:val="00923E4B"/>
    <w:rsid w:val="009413D5"/>
    <w:rsid w:val="0095748E"/>
    <w:rsid w:val="00985CA4"/>
    <w:rsid w:val="009D56CF"/>
    <w:rsid w:val="009F7C7D"/>
    <w:rsid w:val="00A02099"/>
    <w:rsid w:val="00A031B2"/>
    <w:rsid w:val="00A11603"/>
    <w:rsid w:val="00A205CF"/>
    <w:rsid w:val="00A231FD"/>
    <w:rsid w:val="00A23DB2"/>
    <w:rsid w:val="00A31248"/>
    <w:rsid w:val="00A312B0"/>
    <w:rsid w:val="00A46F88"/>
    <w:rsid w:val="00A501F9"/>
    <w:rsid w:val="00A524F5"/>
    <w:rsid w:val="00A53E05"/>
    <w:rsid w:val="00A54A08"/>
    <w:rsid w:val="00A82788"/>
    <w:rsid w:val="00AA7131"/>
    <w:rsid w:val="00AB2FC3"/>
    <w:rsid w:val="00AB6A83"/>
    <w:rsid w:val="00AF1572"/>
    <w:rsid w:val="00AF2D36"/>
    <w:rsid w:val="00B10930"/>
    <w:rsid w:val="00B46AC6"/>
    <w:rsid w:val="00B6681A"/>
    <w:rsid w:val="00B7234D"/>
    <w:rsid w:val="00B948FC"/>
    <w:rsid w:val="00B97DFE"/>
    <w:rsid w:val="00BA0A6C"/>
    <w:rsid w:val="00BB55B8"/>
    <w:rsid w:val="00BD491C"/>
    <w:rsid w:val="00C066B9"/>
    <w:rsid w:val="00C43CD3"/>
    <w:rsid w:val="00C4561B"/>
    <w:rsid w:val="00C549C6"/>
    <w:rsid w:val="00C549D0"/>
    <w:rsid w:val="00C60B45"/>
    <w:rsid w:val="00C733EE"/>
    <w:rsid w:val="00C95667"/>
    <w:rsid w:val="00CA01B4"/>
    <w:rsid w:val="00CC1ADA"/>
    <w:rsid w:val="00CD1342"/>
    <w:rsid w:val="00CF1A41"/>
    <w:rsid w:val="00D00009"/>
    <w:rsid w:val="00D10A63"/>
    <w:rsid w:val="00D26607"/>
    <w:rsid w:val="00D26C59"/>
    <w:rsid w:val="00D2730E"/>
    <w:rsid w:val="00D34D00"/>
    <w:rsid w:val="00D438B3"/>
    <w:rsid w:val="00D67B3F"/>
    <w:rsid w:val="00D77268"/>
    <w:rsid w:val="00DA6ECE"/>
    <w:rsid w:val="00DB6F7A"/>
    <w:rsid w:val="00DD65C1"/>
    <w:rsid w:val="00DE4832"/>
    <w:rsid w:val="00DE6F92"/>
    <w:rsid w:val="00DF0229"/>
    <w:rsid w:val="00DF55EC"/>
    <w:rsid w:val="00E1268F"/>
    <w:rsid w:val="00E16B56"/>
    <w:rsid w:val="00E340F1"/>
    <w:rsid w:val="00E37D14"/>
    <w:rsid w:val="00E461D6"/>
    <w:rsid w:val="00E47B0D"/>
    <w:rsid w:val="00EC0CA0"/>
    <w:rsid w:val="00EE0379"/>
    <w:rsid w:val="00EF4965"/>
    <w:rsid w:val="00F10778"/>
    <w:rsid w:val="00F11EDD"/>
    <w:rsid w:val="00F11FCC"/>
    <w:rsid w:val="00F22D04"/>
    <w:rsid w:val="00F23D06"/>
    <w:rsid w:val="00F2675E"/>
    <w:rsid w:val="00F41D05"/>
    <w:rsid w:val="00F5402A"/>
    <w:rsid w:val="00F540F3"/>
    <w:rsid w:val="00F858BF"/>
    <w:rsid w:val="00F96FEC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5748E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/>
    </w:pPr>
    <w:rPr>
      <w:sz w:val="24"/>
      <w:szCs w:val="24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940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9C"/>
  </w:style>
  <w:style w:type="paragraph" w:styleId="1">
    <w:name w:val="heading 1"/>
    <w:basedOn w:val="a"/>
    <w:link w:val="10"/>
    <w:uiPriority w:val="9"/>
    <w:qFormat/>
    <w:rsid w:val="00957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072D6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3D0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b">
    <w:name w:val="Normal (Web)"/>
    <w:basedOn w:val="a"/>
    <w:uiPriority w:val="99"/>
    <w:semiHidden/>
    <w:unhideWhenUsed/>
    <w:rsid w:val="00F23D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3">
    <w:name w:val="social-likes__button3"/>
    <w:basedOn w:val="a0"/>
    <w:rsid w:val="00F23D06"/>
    <w:rPr>
      <w:rFonts w:ascii="Arial" w:hAnsi="Arial" w:cs="Arial" w:hint="default"/>
      <w:b w:val="0"/>
      <w:bCs w:val="0"/>
      <w:strike w:val="0"/>
      <w:dstrike w:val="0"/>
      <w:sz w:val="20"/>
      <w:szCs w:val="20"/>
      <w:u w:val="none"/>
      <w:effect w:val="none"/>
    </w:rPr>
  </w:style>
  <w:style w:type="character" w:customStyle="1" w:styleId="social-likescounter2">
    <w:name w:val="social-likes__counter2"/>
    <w:basedOn w:val="a0"/>
    <w:rsid w:val="00F23D06"/>
    <w:rPr>
      <w:rFonts w:ascii="Arial" w:hAnsi="Arial" w:cs="Arial" w:hint="default"/>
      <w:b w:val="0"/>
      <w:bCs w:val="0"/>
      <w:strike w:val="0"/>
      <w:dstrike w:val="0"/>
      <w:vanish/>
      <w:webHidden w:val="0"/>
      <w:sz w:val="20"/>
      <w:szCs w:val="20"/>
      <w:u w:val="none"/>
      <w:effect w:val="none"/>
      <w:specVanish w:val="0"/>
    </w:rPr>
  </w:style>
  <w:style w:type="character" w:customStyle="1" w:styleId="news-date-time2">
    <w:name w:val="news-date-time2"/>
    <w:basedOn w:val="a0"/>
    <w:rsid w:val="00F23D06"/>
    <w:rPr>
      <w:color w:val="FFA200"/>
    </w:rPr>
  </w:style>
  <w:style w:type="character" w:customStyle="1" w:styleId="10">
    <w:name w:val="Заголовок 1 Знак"/>
    <w:basedOn w:val="a0"/>
    <w:link w:val="1"/>
    <w:uiPriority w:val="9"/>
    <w:rsid w:val="0095748E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</w:div>
                            <w:div w:id="3134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186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04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2724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2053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45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64555419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0836951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72435281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38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66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339808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24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  <w:divsChild>
                <w:div w:id="6720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363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259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123331122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1617461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200088207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233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4733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51;&#1055;&#1061;%20&#1087;&#1086;%20&#1042;&#1057;&#1061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51;&#1055;&#1061;%20&#1087;&#1086;%20&#1042;&#1057;&#1061;&#105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2018\&#1044;&#1080;&#1072;&#1075;&#1088;&#1072;&#1084;&#1084;&#1099;%20&#1050;&#1060;&#106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Число  некоммерческих объединений граждан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списках объектов ВСХП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по Тукаевскому муниципальному району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, единиц</a:t>
            </a:r>
          </a:p>
        </c:rich>
      </c:tx>
      <c:layout>
        <c:manualLayout>
          <c:xMode val="edge"/>
          <c:yMode val="edge"/>
          <c:x val="0.17797222222222231"/>
          <c:y val="2.7777777777777821E-2"/>
        </c:manualLayout>
      </c:layout>
    </c:title>
    <c:plotArea>
      <c:layout>
        <c:manualLayout>
          <c:layoutTarget val="inner"/>
          <c:xMode val="edge"/>
          <c:yMode val="edge"/>
          <c:x val="1.5388955859344918E-4"/>
          <c:y val="0.2200535985633375"/>
          <c:w val="0.88107654295656035"/>
          <c:h val="0.6761041580328774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Лист1!$A$51</c:f>
              <c:strCache>
                <c:ptCount val="1"/>
                <c:pt idx="0">
                  <c:v>Некоммерческие объединения граждан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Лист1!$B$50:$C$50</c:f>
              <c:strCache>
                <c:ptCount val="2"/>
                <c:pt idx="0">
                  <c:v>ВСХП 2006 года</c:v>
                </c:pt>
                <c:pt idx="1">
                  <c:v>ВСХП 2016 года</c:v>
                </c:pt>
              </c:strCache>
            </c:strRef>
          </c:cat>
          <c:val>
            <c:numRef>
              <c:f>Лист1!$B$51:$C$51</c:f>
              <c:numCache>
                <c:formatCode>General</c:formatCode>
                <c:ptCount val="2"/>
                <c:pt idx="0">
                  <c:v>68</c:v>
                </c:pt>
                <c:pt idx="1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Лист1!$A$52</c:f>
              <c:strCache>
                <c:ptCount val="1"/>
                <c:pt idx="0">
                  <c:v>из них действующие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Лист1!$B$50:$C$50</c:f>
              <c:strCache>
                <c:ptCount val="2"/>
                <c:pt idx="0">
                  <c:v>ВСХП 2006 года</c:v>
                </c:pt>
                <c:pt idx="1">
                  <c:v>ВСХП 2016 года</c:v>
                </c:pt>
              </c:strCache>
            </c:strRef>
          </c:cat>
          <c:val>
            <c:numRef>
              <c:f>Лист1!$B$52:$C$52</c:f>
              <c:numCache>
                <c:formatCode>General</c:formatCode>
                <c:ptCount val="2"/>
                <c:pt idx="0">
                  <c:v>68</c:v>
                </c:pt>
                <c:pt idx="1">
                  <c:v>79</c:v>
                </c:pt>
              </c:numCache>
            </c:numRef>
          </c:val>
        </c:ser>
        <c:axId val="59966592"/>
        <c:axId val="59968128"/>
      </c:barChart>
      <c:catAx>
        <c:axId val="59966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968128"/>
        <c:crosses val="autoZero"/>
        <c:auto val="1"/>
        <c:lblAlgn val="ctr"/>
        <c:lblOffset val="100"/>
      </c:catAx>
      <c:valAx>
        <c:axId val="599681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9966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36586387613584"/>
          <c:y val="0.36658573928258981"/>
          <c:w val="0.18860482016295194"/>
          <c:h val="0.55108778069407993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40"/>
      <c:rotY val="170"/>
      <c:perspective val="90"/>
    </c:view3D>
    <c:plotArea>
      <c:layout>
        <c:manualLayout>
          <c:layoutTarget val="inner"/>
          <c:xMode val="edge"/>
          <c:yMode val="edge"/>
          <c:x val="0"/>
          <c:y val="0.51790413652168032"/>
          <c:w val="1"/>
          <c:h val="0.48046062507869186"/>
        </c:manualLayout>
      </c:layout>
      <c:pie3DChart>
        <c:varyColors val="1"/>
        <c:ser>
          <c:idx val="0"/>
          <c:order val="0"/>
          <c:tx>
            <c:strRef>
              <c:f>Лист1!$B$41</c:f>
              <c:strCache>
                <c:ptCount val="1"/>
                <c:pt idx="0">
                  <c:v>ВСХП - 2006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634242689360803"/>
                  <c:y val="8.1085156022163901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2.4606520144577888E-2"/>
                  <c:y val="-9.3408282298046097E-2"/>
                </c:manualLayout>
              </c:layout>
              <c:showPercent val="1"/>
            </c:dLbl>
            <c:dLbl>
              <c:idx val="2"/>
              <c:layout>
                <c:manualLayout>
                  <c:x val="2.0780331751460365E-2"/>
                  <c:y val="1.5955088947214931E-2"/>
                </c:manualLayout>
              </c:layout>
              <c:showPercent val="1"/>
            </c:dLbl>
            <c:dLbl>
              <c:idx val="3"/>
              <c:layout>
                <c:manualLayout>
                  <c:x val="-0.14794948611221587"/>
                  <c:y val="7.8670166229221367E-3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Лист1!$A$42:$A$45</c:f>
              <c:strCache>
                <c:ptCount val="4"/>
                <c:pt idx="0">
                  <c:v>сельскохозяйственные организации</c:v>
                </c:pt>
                <c:pt idx="1">
                  <c:v>КФХ</c:v>
                </c:pt>
                <c:pt idx="2">
                  <c:v>ЛПХ</c:v>
                </c:pt>
                <c:pt idx="3">
                  <c:v>некоммерческие объединения граждан</c:v>
                </c:pt>
              </c:strCache>
            </c:strRef>
          </c:cat>
          <c:val>
            <c:numRef>
              <c:f>Лист1!$B$42:$B$45</c:f>
              <c:numCache>
                <c:formatCode>General</c:formatCode>
                <c:ptCount val="4"/>
                <c:pt idx="0">
                  <c:v>104950</c:v>
                </c:pt>
                <c:pt idx="1">
                  <c:v>3778</c:v>
                </c:pt>
                <c:pt idx="2">
                  <c:v>2843.9</c:v>
                </c:pt>
                <c:pt idx="3">
                  <c:v>4096.1000000000004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4653324584427032E-2"/>
          <c:y val="0.10451414406532518"/>
          <c:w val="0.85347090988626306"/>
          <c:h val="0.2908874307378244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9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Лист1!$B$46</c:f>
              <c:strCache>
                <c:ptCount val="1"/>
                <c:pt idx="0">
                  <c:v>ВСХП - 2016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Лист1!$A$47:$A$50</c:f>
              <c:strCache>
                <c:ptCount val="4"/>
                <c:pt idx="0">
                  <c:v>сельскохозяйственные организации</c:v>
                </c:pt>
                <c:pt idx="1">
                  <c:v>КФХ</c:v>
                </c:pt>
                <c:pt idx="2">
                  <c:v>ЛПХ</c:v>
                </c:pt>
                <c:pt idx="3">
                  <c:v>некоммерческие объединения граждан</c:v>
                </c:pt>
              </c:strCache>
            </c:strRef>
          </c:cat>
          <c:val>
            <c:numRef>
              <c:f>Лист1!$B$47:$B$50</c:f>
              <c:numCache>
                <c:formatCode>General</c:formatCode>
                <c:ptCount val="4"/>
                <c:pt idx="0">
                  <c:v>72681.100000000006</c:v>
                </c:pt>
                <c:pt idx="1">
                  <c:v>17208.3</c:v>
                </c:pt>
                <c:pt idx="2">
                  <c:v>4634.5</c:v>
                </c:pt>
                <c:pt idx="3">
                  <c:v>4994.9000000000005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земельных площадей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 ДНТ и СНТ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Тукаевского муниципального района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3.0555555555555582E-2"/>
          <c:y val="0.31620370370370382"/>
          <c:w val="0.70964333285294412"/>
          <c:h val="0.56781641878098577"/>
        </c:manualLayout>
      </c:layout>
      <c:barChart>
        <c:barDir val="col"/>
        <c:grouping val="clustered"/>
        <c:ser>
          <c:idx val="0"/>
          <c:order val="0"/>
          <c:tx>
            <c:strRef>
              <c:f>Лист1!$A$61</c:f>
              <c:strCache>
                <c:ptCount val="1"/>
                <c:pt idx="0">
                  <c:v>Общая земельная площадь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Лист1!$B$60:$C$60</c:f>
              <c:strCache>
                <c:ptCount val="2"/>
                <c:pt idx="0">
                  <c:v>ВСХП 2006 года</c:v>
                </c:pt>
                <c:pt idx="1">
                  <c:v>ВСХП 2016 года</c:v>
                </c:pt>
              </c:strCache>
            </c:strRef>
          </c:cat>
          <c:val>
            <c:numRef>
              <c:f>Лист1!$B$61:$C$61</c:f>
              <c:numCache>
                <c:formatCode>General</c:formatCode>
                <c:ptCount val="2"/>
                <c:pt idx="0">
                  <c:v>4096.1000000000004</c:v>
                </c:pt>
                <c:pt idx="1">
                  <c:v>4994.9000000000005</c:v>
                </c:pt>
              </c:numCache>
            </c:numRef>
          </c:val>
        </c:ser>
        <c:ser>
          <c:idx val="1"/>
          <c:order val="1"/>
          <c:tx>
            <c:strRef>
              <c:f>Лист1!$A$62</c:f>
              <c:strCache>
                <c:ptCount val="1"/>
                <c:pt idx="0">
                  <c:v>в т.ч. посевня площадь</c:v>
                </c:pt>
              </c:strCache>
            </c:strRef>
          </c:tx>
          <c:spPr>
            <a:gradFill flip="none" rotWithShape="1">
              <a:gsLst>
                <a:gs pos="50000">
                  <a:srgbClr val="FFFF00"/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10800000" scaled="1"/>
              <a:tileRect/>
            </a:gra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Лист1!$B$60:$C$60</c:f>
              <c:strCache>
                <c:ptCount val="2"/>
                <c:pt idx="0">
                  <c:v>ВСХП 2006 года</c:v>
                </c:pt>
                <c:pt idx="1">
                  <c:v>ВСХП 2016 года</c:v>
                </c:pt>
              </c:strCache>
            </c:strRef>
          </c:cat>
          <c:val>
            <c:numRef>
              <c:f>Лист1!$B$62:$C$62</c:f>
              <c:numCache>
                <c:formatCode>General</c:formatCode>
                <c:ptCount val="2"/>
                <c:pt idx="0">
                  <c:v>1570.8</c:v>
                </c:pt>
                <c:pt idx="1">
                  <c:v>1404</c:v>
                </c:pt>
              </c:numCache>
            </c:numRef>
          </c:val>
        </c:ser>
        <c:axId val="23000960"/>
        <c:axId val="23002496"/>
      </c:barChart>
      <c:catAx>
        <c:axId val="230009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02496"/>
        <c:crosses val="autoZero"/>
        <c:auto val="1"/>
        <c:lblAlgn val="ctr"/>
        <c:lblOffset val="100"/>
      </c:catAx>
      <c:valAx>
        <c:axId val="2300249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3000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763831933653949"/>
          <c:y val="9.5378463598090657E-2"/>
          <c:w val="0.20905053257693884"/>
          <c:h val="0.42720341894435976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земельных участков ДНТ и СНТ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видам использования, в % </a:t>
            </a:r>
          </a:p>
        </c:rich>
      </c:tx>
      <c:layout/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8.5854522961699847E-2"/>
          <c:y val="0.25374503187101616"/>
          <c:w val="0.91414547703830018"/>
          <c:h val="0.70497037870266221"/>
        </c:manualLayout>
      </c:layout>
      <c:pie3DChart>
        <c:varyColors val="1"/>
        <c:ser>
          <c:idx val="0"/>
          <c:order val="0"/>
          <c:explosion val="25"/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0000">
                  <a:alpha val="62000"/>
                </a:srgbClr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Лист1!$A$208:$A$212</c:f>
              <c:strCache>
                <c:ptCount val="5"/>
                <c:pt idx="0">
                  <c:v>постройки, сооружения, дорожки</c:v>
                </c:pt>
                <c:pt idx="1">
                  <c:v>газоны и декоративные насаждения</c:v>
                </c:pt>
                <c:pt idx="2">
                  <c:v>посевы</c:v>
                </c:pt>
                <c:pt idx="3">
                  <c:v>многолетние насаждения</c:v>
                </c:pt>
                <c:pt idx="4">
                  <c:v>неиспользуемая площадь</c:v>
                </c:pt>
              </c:strCache>
            </c:strRef>
          </c:cat>
          <c:val>
            <c:numRef>
              <c:f>Лист1!$B$208:$B$212</c:f>
              <c:numCache>
                <c:formatCode>General</c:formatCode>
                <c:ptCount val="5"/>
                <c:pt idx="0">
                  <c:v>13.5</c:v>
                </c:pt>
                <c:pt idx="1">
                  <c:v>7</c:v>
                </c:pt>
                <c:pt idx="2">
                  <c:v>53.3</c:v>
                </c:pt>
                <c:pt idx="3">
                  <c:v>22.6</c:v>
                </c:pt>
                <c:pt idx="4">
                  <c:v>3.6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0.22904</cdr:x>
      <cdr:y>0.57414</cdr:y>
    </cdr:from>
    <cdr:to>
      <cdr:x>0.76381</cdr:x>
      <cdr:y>0.79158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 rot="20595716">
          <a:off x="1339495" y="1574986"/>
          <a:ext cx="3127558" cy="596472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FFF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рост  действующих на  объединений на  16,2 %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0.18667</cdr:x>
      <cdr:y>0.40824</cdr:y>
    </cdr:from>
    <cdr:to>
      <cdr:x>0.4636</cdr:x>
      <cdr:y>0.57281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 rot="20624679">
          <a:off x="1068573" y="1158763"/>
          <a:ext cx="1585305" cy="467123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92D050">
            <a:alpha val="67000"/>
          </a:srgb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anchor="ctr"/>
        <a:lstStyle xmlns:a="http://schemas.openxmlformats.org/drawingml/2006/main"/>
        <a:p xmlns:a="http://schemas.openxmlformats.org/drawingml/2006/main">
          <a:pPr algn="ctr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рост на 22%</a:t>
          </a:r>
        </a:p>
      </cdr:txBody>
    </cdr:sp>
  </cdr:relSizeAnchor>
  <cdr:relSizeAnchor xmlns:cdr="http://schemas.openxmlformats.org/drawingml/2006/chartDrawing">
    <cdr:from>
      <cdr:x>0.68885</cdr:x>
      <cdr:y>0.57047</cdr:y>
    </cdr:from>
    <cdr:to>
      <cdr:x>1</cdr:x>
      <cdr:y>1</cdr:y>
    </cdr:to>
    <cdr:sp macro="" textlink="">
      <cdr:nvSpPr>
        <cdr:cNvPr id="4" name="Выноска со стрелкой вниз 3"/>
        <cdr:cNvSpPr/>
      </cdr:nvSpPr>
      <cdr:spPr>
        <a:xfrm xmlns:a="http://schemas.openxmlformats.org/drawingml/2006/main">
          <a:off x="3943350" y="1619250"/>
          <a:ext cx="1781175" cy="1219200"/>
        </a:xfrm>
        <a:prstGeom xmlns:a="http://schemas.openxmlformats.org/drawingml/2006/main" prst="downArrowCallout">
          <a:avLst/>
        </a:prstGeom>
        <a:gradFill xmlns:a="http://schemas.openxmlformats.org/drawingml/2006/main" flip="none" rotWithShape="1">
          <a:gsLst>
            <a:gs pos="26000">
              <a:srgbClr val="FFFF00">
                <a:alpha val="58000"/>
              </a:srgb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  <a:tileRect/>
        </a:gra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снижение посевных площадей  </a:t>
          </a:r>
        </a:p>
        <a:p xmlns:a="http://schemas.openxmlformats.org/drawingml/2006/main">
          <a:pPr algn="ctr"/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ДНТ и СНТ </a:t>
          </a:r>
        </a:p>
        <a:p xmlns:a="http://schemas.openxmlformats.org/drawingml/2006/main">
          <a:pPr algn="ctr"/>
          <a:r>
            <a:rPr lang="ru-RU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на  11 %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F98E-1DF9-4D7D-8E8A-35F0F0A6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tykai</cp:lastModifiedBy>
  <cp:revision>11</cp:revision>
  <dcterms:created xsi:type="dcterms:W3CDTF">2018-08-23T06:58:00Z</dcterms:created>
  <dcterms:modified xsi:type="dcterms:W3CDTF">2018-08-24T11:54:00Z</dcterms:modified>
</cp:coreProperties>
</file>